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2DB2" w14:textId="05F7515A"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0ABBF938" w14:textId="77777777" w:rsidR="00312A1C" w:rsidRPr="00B321D5" w:rsidRDefault="00312A1C" w:rsidP="00312A1C">
      <w:pPr>
        <w:widowControl w:val="0"/>
        <w:suppressAutoHyphens w:val="0"/>
        <w:jc w:val="center"/>
        <w:rPr>
          <w:rFonts w:ascii="Titillium Web" w:hAnsi="Titillium Web" w:cs="Calibri"/>
          <w:b/>
          <w:bCs/>
          <w:sz w:val="20"/>
          <w:szCs w:val="20"/>
          <w:lang w:val="en-US" w:eastAsia="en-US"/>
        </w:rPr>
      </w:pPr>
      <w:r w:rsidRPr="00B321D5">
        <w:rPr>
          <w:rFonts w:ascii="Titillium Web" w:hAnsi="Titillium Web" w:cs="Calibri"/>
          <w:b/>
          <w:bCs/>
          <w:sz w:val="20"/>
          <w:szCs w:val="20"/>
          <w:lang w:val="en-US" w:eastAsia="en-US"/>
        </w:rPr>
        <w:t>PNRR Mission 4, Component 2, Investment 1.4 "Strengthening of research and research facilities"</w:t>
      </w:r>
    </w:p>
    <w:p w14:paraId="685482ED" w14:textId="77777777" w:rsidR="00312A1C" w:rsidRPr="00B321D5" w:rsidRDefault="00312A1C" w:rsidP="00312A1C">
      <w:pPr>
        <w:widowControl w:val="0"/>
        <w:suppressAutoHyphens w:val="0"/>
        <w:jc w:val="center"/>
        <w:rPr>
          <w:rFonts w:ascii="Titillium Web" w:hAnsi="Titillium Web" w:cs="Calibri"/>
          <w:b/>
          <w:bCs/>
          <w:sz w:val="20"/>
          <w:szCs w:val="20"/>
          <w:lang w:val="en-US" w:eastAsia="en-US"/>
        </w:rPr>
      </w:pPr>
      <w:r w:rsidRPr="00B321D5">
        <w:rPr>
          <w:rFonts w:ascii="Titillium Web" w:hAnsi="Titillium Web" w:cs="Calibri"/>
          <w:b/>
          <w:bCs/>
          <w:sz w:val="20"/>
          <w:szCs w:val="20"/>
          <w:lang w:val="en-US" w:eastAsia="en-US"/>
        </w:rPr>
        <w:t>creation of "national R&amp;D champions" on some Key Enabling Technologies"</w:t>
      </w:r>
    </w:p>
    <w:p w14:paraId="0D2FB709" w14:textId="77777777" w:rsidR="00312A1C" w:rsidRPr="00B321D5" w:rsidRDefault="00312A1C" w:rsidP="00312A1C">
      <w:pPr>
        <w:widowControl w:val="0"/>
        <w:suppressAutoHyphens w:val="0"/>
        <w:jc w:val="center"/>
        <w:rPr>
          <w:rFonts w:ascii="Titillium Web" w:hAnsi="Titillium Web" w:cs="Calibri"/>
          <w:b/>
          <w:bCs/>
          <w:sz w:val="20"/>
          <w:szCs w:val="20"/>
          <w:lang w:val="en-US" w:eastAsia="en-US"/>
        </w:rPr>
      </w:pPr>
      <w:r w:rsidRPr="00B321D5">
        <w:rPr>
          <w:rFonts w:ascii="Titillium Web" w:hAnsi="Titillium Web" w:cs="Calibri"/>
          <w:b/>
          <w:bCs/>
          <w:sz w:val="20"/>
          <w:szCs w:val="20"/>
          <w:lang w:val="en-US" w:eastAsia="en-US"/>
        </w:rPr>
        <w:t>Initiative funded by the European Union –- NextGenerationEU.</w:t>
      </w:r>
    </w:p>
    <w:p w14:paraId="7A8D8E30" w14:textId="77777777" w:rsidR="00312A1C" w:rsidRPr="00312A1C" w:rsidRDefault="00312A1C" w:rsidP="00312A1C">
      <w:pPr>
        <w:widowControl w:val="0"/>
        <w:suppressAutoHyphens w:val="0"/>
        <w:jc w:val="center"/>
        <w:rPr>
          <w:rFonts w:ascii="Titillium Web" w:hAnsi="Titillium Web" w:cs="Calibri"/>
          <w:b/>
          <w:bCs/>
          <w:sz w:val="20"/>
          <w:szCs w:val="20"/>
          <w:lang w:val="en-US" w:eastAsia="en-US"/>
        </w:rPr>
      </w:pPr>
      <w:r w:rsidRPr="00B321D5">
        <w:rPr>
          <w:rFonts w:ascii="Titillium Web" w:hAnsi="Titillium Web" w:cs="Calibri"/>
          <w:b/>
          <w:bCs/>
          <w:sz w:val="20"/>
          <w:szCs w:val="20"/>
          <w:lang w:val="en-US" w:eastAsia="en-US"/>
        </w:rPr>
        <w:t>National Center for Gene Therapy and Drugs based on RNA Technology</w:t>
      </w:r>
    </w:p>
    <w:p w14:paraId="2394B0F0" w14:textId="77777777" w:rsidR="00312A1C" w:rsidRPr="00B321D5" w:rsidRDefault="00312A1C" w:rsidP="00312A1C">
      <w:pPr>
        <w:widowControl w:val="0"/>
        <w:suppressAutoHyphens w:val="0"/>
        <w:jc w:val="center"/>
        <w:rPr>
          <w:rFonts w:ascii="Titillium Web" w:hAnsi="Titillium Web" w:cs="Calibri"/>
          <w:b/>
          <w:bCs/>
          <w:sz w:val="20"/>
          <w:szCs w:val="20"/>
          <w:lang w:val="en-US" w:eastAsia="en-US"/>
        </w:rPr>
      </w:pPr>
      <w:r w:rsidRPr="00B321D5">
        <w:rPr>
          <w:rFonts w:ascii="Titillium Web" w:hAnsi="Titillium Web" w:cs="Calibri"/>
          <w:b/>
          <w:bCs/>
          <w:sz w:val="20"/>
          <w:szCs w:val="20"/>
          <w:lang w:val="en-US" w:eastAsia="en-US"/>
        </w:rPr>
        <w:t>Development of gene therapy and drugs with RNA technology</w:t>
      </w:r>
    </w:p>
    <w:p w14:paraId="17798E74" w14:textId="1A54B770" w:rsidR="0056278F" w:rsidRPr="00B321D5" w:rsidRDefault="00312A1C" w:rsidP="00312A1C">
      <w:pPr>
        <w:tabs>
          <w:tab w:val="left" w:pos="8136"/>
        </w:tabs>
        <w:jc w:val="center"/>
        <w:rPr>
          <w:rFonts w:ascii="Titillium Web" w:hAnsi="Titillium Web" w:cs="Calibri"/>
          <w:bCs/>
          <w:sz w:val="22"/>
          <w:szCs w:val="22"/>
          <w:lang w:val="en-US"/>
        </w:rPr>
      </w:pPr>
      <w:r w:rsidRPr="00B321D5">
        <w:rPr>
          <w:rFonts w:ascii="Titillium Web" w:hAnsi="Titillium Web" w:cs="Calibri"/>
          <w:b/>
          <w:bCs/>
          <w:sz w:val="20"/>
          <w:szCs w:val="20"/>
          <w:lang w:val="en-US" w:eastAsia="en-US"/>
        </w:rPr>
        <w:t>MUR project code: CN00000041 – CUP UNINA: E63C22000940007</w:t>
      </w:r>
    </w:p>
    <w:p w14:paraId="0C9E853E" w14:textId="77777777" w:rsidR="0056278F" w:rsidRPr="00B321D5" w:rsidRDefault="0056278F" w:rsidP="0056278F">
      <w:pPr>
        <w:tabs>
          <w:tab w:val="left" w:pos="8136"/>
        </w:tabs>
        <w:jc w:val="both"/>
        <w:rPr>
          <w:rFonts w:ascii="Titillium Web" w:hAnsi="Titillium Web" w:cs="Calibri"/>
          <w:bCs/>
          <w:sz w:val="22"/>
          <w:szCs w:val="22"/>
          <w:lang w:val="en-US"/>
        </w:rPr>
      </w:pPr>
    </w:p>
    <w:p w14:paraId="14565BC0" w14:textId="77777777" w:rsidR="001B5E12" w:rsidRPr="00B321D5" w:rsidRDefault="0056278F" w:rsidP="001B5E12">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lang w:val="en-US"/>
        </w:rPr>
      </w:pPr>
      <w:r w:rsidRPr="00B321D5">
        <w:rPr>
          <w:rFonts w:ascii="Titillium Web" w:hAnsi="Titillium Web"/>
          <w:b/>
          <w:bCs/>
          <w:iCs/>
          <w:lang w:val="en-US"/>
        </w:rPr>
        <w:tab/>
        <w:t>DEED OF COMMITMENT</w:t>
      </w:r>
    </w:p>
    <w:p w14:paraId="4195C960" w14:textId="0BEE9E65" w:rsidR="001B5E12" w:rsidRPr="002A5D47" w:rsidRDefault="009D607A" w:rsidP="00B46E16">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lang w:val="en-US"/>
        </w:rPr>
      </w:pPr>
      <w:r w:rsidRPr="00B321D5">
        <w:rPr>
          <w:rFonts w:ascii="Titillium Web" w:hAnsi="Titillium Web"/>
          <w:b/>
          <w:bCs/>
          <w:iCs/>
          <w:lang w:val="en-US"/>
        </w:rPr>
        <w:t>Open procedure with the application of the criterion of the most economically advantageous offer identified on the basis of the best value for money, pursuant to art. 71 and 108 paragraph 1 of Legislative Decree no. 36/2023 as amended, concerning the supply of an "Automated mRNA Production System at scale suitable for drug discovery and preclinical development with Critical Reagent Supply and Processing System".</w:t>
      </w:r>
    </w:p>
    <w:p w14:paraId="7BDFDE39" w14:textId="77777777" w:rsidR="009D607A" w:rsidRPr="002A5D47" w:rsidRDefault="009D607A" w:rsidP="00B2456D">
      <w:pPr>
        <w:tabs>
          <w:tab w:val="left" w:pos="8136"/>
        </w:tabs>
        <w:jc w:val="both"/>
        <w:rPr>
          <w:rFonts w:ascii="Titillium Web" w:hAnsi="Titillium Web" w:cs="Tahoma"/>
          <w:sz w:val="22"/>
          <w:szCs w:val="22"/>
          <w:lang w:val="en-US"/>
        </w:rPr>
      </w:pPr>
    </w:p>
    <w:p w14:paraId="50267EF8" w14:textId="613B5456" w:rsidR="000A405D" w:rsidRPr="00B321D5" w:rsidRDefault="000A405D" w:rsidP="00B2456D">
      <w:pPr>
        <w:tabs>
          <w:tab w:val="left" w:pos="8136"/>
        </w:tabs>
        <w:jc w:val="both"/>
        <w:rPr>
          <w:rFonts w:ascii="Titillium Web" w:hAnsi="Titillium Web" w:cs="Tahoma"/>
          <w:b/>
          <w:bCs/>
          <w:sz w:val="22"/>
          <w:szCs w:val="22"/>
          <w:lang w:val="en-US"/>
        </w:rPr>
      </w:pPr>
      <w:r w:rsidRPr="00B321D5">
        <w:rPr>
          <w:rFonts w:ascii="Titillium Web" w:hAnsi="Titillium Web" w:cs="Tahoma"/>
          <w:sz w:val="22"/>
          <w:szCs w:val="22"/>
          <w:lang w:val="en-US"/>
        </w:rPr>
        <w:t>The undersigned _______________________________________</w:t>
      </w:r>
      <w:r w:rsidRPr="00B321D5">
        <w:rPr>
          <w:rFonts w:ascii="Titillium Web" w:hAnsi="Titillium Web" w:cs="Tahoma"/>
          <w:color w:val="0070C0"/>
          <w:sz w:val="22"/>
          <w:szCs w:val="22"/>
          <w:lang w:val="en-US"/>
        </w:rPr>
        <w:t>[indicate personal details]</w:t>
      </w:r>
      <w:r w:rsidRPr="00B321D5">
        <w:rPr>
          <w:rFonts w:ascii="Titillium Web" w:hAnsi="Titillium Web" w:cs="Tahoma"/>
          <w:sz w:val="22"/>
          <w:szCs w:val="22"/>
          <w:lang w:val="en-US"/>
        </w:rPr>
        <w:t>, Tax Code ________________________, representing the economic operator (name and legal form) __________________________________________________________________________________________________ participant (hereinafter "Competitor") in the open procedure pursuant to art. 71 and 108 of D.L.gs no. 36/2023, as part of the Project</w:t>
      </w:r>
      <w:r w:rsidR="00B2456D" w:rsidRPr="00B321D5">
        <w:rPr>
          <w:rFonts w:ascii="Titillium Web" w:hAnsi="Titillium Web" w:cs="Tahoma"/>
          <w:b/>
          <w:sz w:val="22"/>
          <w:szCs w:val="22"/>
          <w:lang w:val="en-US"/>
        </w:rPr>
        <w:t xml:space="preserve">: </w:t>
      </w:r>
      <w:r w:rsidR="00B2456D" w:rsidRPr="00B321D5">
        <w:rPr>
          <w:rFonts w:ascii="Titillium Web" w:hAnsi="Titillium Web" w:cs="Tahoma"/>
          <w:bCs/>
          <w:sz w:val="22"/>
          <w:szCs w:val="22"/>
          <w:lang w:val="en-US"/>
        </w:rPr>
        <w:t>PNRR Mission 4, Component 2, Investment 1.4 "</w:t>
      </w:r>
      <w:r w:rsidR="00B2456D" w:rsidRPr="00B321D5">
        <w:rPr>
          <w:rFonts w:ascii="Titillium Web" w:hAnsi="Titillium Web" w:cs="Tahoma"/>
          <w:bCs/>
          <w:i/>
          <w:iCs/>
          <w:sz w:val="22"/>
          <w:szCs w:val="22"/>
          <w:lang w:val="en-US"/>
        </w:rPr>
        <w:t>Strengthening research facilities and creation of "national R&amp;D champions" on some Key Enabling Technologies</w:t>
      </w:r>
      <w:r w:rsidR="00B2456D" w:rsidRPr="00B321D5">
        <w:rPr>
          <w:rFonts w:ascii="Titillium Web" w:hAnsi="Titillium Web" w:cs="Tahoma"/>
          <w:bCs/>
          <w:sz w:val="22"/>
          <w:szCs w:val="22"/>
          <w:lang w:val="en-US"/>
        </w:rPr>
        <w:t xml:space="preserve">" Initiative funded by the European Union - NextGenerationEU. National Center for Gene Therapy and Drugs based on RNA Technology Development of gene therapy and drugs with RNA technology MUR project code: CN00000041 </w:t>
      </w:r>
      <w:r w:rsidRPr="00B321D5">
        <w:rPr>
          <w:rFonts w:ascii="Titillium Web" w:hAnsi="Titillium Web" w:cs="Tahoma"/>
          <w:sz w:val="22"/>
          <w:szCs w:val="22"/>
          <w:lang w:val="en-US"/>
        </w:rPr>
        <w:t xml:space="preserve">– CUP </w:t>
      </w:r>
      <w:r w:rsidR="00B2456D" w:rsidRPr="00B321D5">
        <w:rPr>
          <w:rFonts w:ascii="Titillium Web" w:hAnsi="Titillium Web" w:cs="Calibri"/>
          <w:bCs/>
          <w:sz w:val="22"/>
          <w:szCs w:val="22"/>
          <w:lang w:val="en-US"/>
        </w:rPr>
        <w:t xml:space="preserve">E63C22000940007 </w:t>
      </w:r>
    </w:p>
    <w:p w14:paraId="24FFF619" w14:textId="77777777" w:rsidR="000262B2" w:rsidRPr="00B321D5" w:rsidRDefault="00B250E1" w:rsidP="00B250E1">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 xml:space="preserve">Considering that: </w:t>
      </w:r>
    </w:p>
    <w:p w14:paraId="48E9E33B" w14:textId="24C34F95" w:rsidR="00803151" w:rsidRPr="00B321D5"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B321D5">
        <w:rPr>
          <w:rFonts w:ascii="Titillium Web" w:hAnsi="Titillium Web" w:cs="Tahoma"/>
          <w:sz w:val="22"/>
          <w:szCs w:val="22"/>
          <w:lang w:val="en-US"/>
        </w:rPr>
        <w:t>-</w:t>
      </w:r>
      <w:r w:rsidR="001832AF" w:rsidRPr="00B321D5">
        <w:rPr>
          <w:rFonts w:ascii="Titillium Web" w:hAnsi="Titillium Web" w:cs="Tahoma"/>
          <w:bCs/>
          <w:sz w:val="22"/>
          <w:szCs w:val="22"/>
          <w:lang w:val="en-US"/>
        </w:rPr>
        <w:t xml:space="preserve"> Public Notice No. 3138 of 16 December 2021 of the MUR, partially amended by Directorial Decree No. 3175 of 18 December 2021, relating to the submission of Proposals for Intervention for the Strengthening of research facilities and the creation of "national champions" of R&amp;D on some Key Enabling Technologies to be funded under the PNRR Mission 4,  "Education and Research" – Component 2, "From Research to Enterprise" – Investment Line 1.4 "Strengthening research facilities and creation of 'national R&amp;D champions' on some Key Enabling Technologies", funded by the European Union – NextGenerationEU;</w:t>
      </w:r>
    </w:p>
    <w:p w14:paraId="095121EA" w14:textId="0EB746C1" w:rsidR="001832AF" w:rsidRPr="00B321D5"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B321D5">
        <w:rPr>
          <w:rFonts w:ascii="Titillium Web" w:hAnsi="Titillium Web" w:cs="Tahoma"/>
          <w:bCs/>
          <w:sz w:val="22"/>
          <w:szCs w:val="22"/>
          <w:lang w:val="en-US"/>
        </w:rPr>
        <w:t xml:space="preserve">- in response to the aforementioned Public Notice, the project presented by the University, submitted to the MUR and ratified by the Board of Directors with resolution no. 170 of 4 April 2022, with which the establishment of a Foundation - as the implementing body (HUB) of the Research Program - between the University of Milan and the University of Milan was proposed </w:t>
      </w:r>
    </w:p>
    <w:p w14:paraId="5A32B0DD" w14:textId="48D40859" w:rsidR="00803151" w:rsidRPr="00B321D5" w:rsidRDefault="001832AF"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B321D5">
        <w:rPr>
          <w:rFonts w:ascii="Titillium Web" w:hAnsi="Titillium Web" w:cs="Tahoma"/>
          <w:bCs/>
          <w:sz w:val="22"/>
          <w:szCs w:val="22"/>
          <w:lang w:val="en-US"/>
        </w:rPr>
        <w:t xml:space="preserve">and public research institutions supervised by the MUR and with the involvement of non-state universities, other public research institutions and other public or private entities, highly qualified in the research topic covered by the CN, providing for a total cost of the project equal to € 400,000,000.00 and </w:t>
      </w:r>
      <w:r w:rsidRPr="00B321D5">
        <w:rPr>
          <w:rFonts w:ascii="Titillium Web" w:hAnsi="Titillium Web" w:cs="Tahoma"/>
          <w:bCs/>
          <w:sz w:val="22"/>
          <w:szCs w:val="22"/>
          <w:lang w:val="en-US"/>
        </w:rPr>
        <w:lastRenderedPageBreak/>
        <w:t>called National Center for Gene Therapy and Drugs based on RNA Technology" – marked with the identification code "CN00000041";</w:t>
      </w:r>
    </w:p>
    <w:p w14:paraId="64028D04" w14:textId="282221D2" w:rsidR="001832AF" w:rsidRPr="00B321D5" w:rsidRDefault="001832AF" w:rsidP="008F1351">
      <w:pPr>
        <w:tabs>
          <w:tab w:val="right" w:pos="9072"/>
        </w:tabs>
        <w:ind w:right="284"/>
        <w:jc w:val="both"/>
        <w:rPr>
          <w:rFonts w:ascii="Titillium Web" w:hAnsi="Titillium Web" w:cs="Tahoma"/>
          <w:bCs/>
          <w:sz w:val="22"/>
          <w:szCs w:val="22"/>
          <w:lang w:val="en-US"/>
        </w:rPr>
      </w:pPr>
      <w:r w:rsidRPr="00B321D5">
        <w:rPr>
          <w:rFonts w:ascii="Titillium Web" w:hAnsi="Titillium Web" w:cs="Tahoma"/>
          <w:bCs/>
          <w:sz w:val="22"/>
          <w:szCs w:val="22"/>
          <w:lang w:val="en-US"/>
        </w:rPr>
        <w:t>- with Directorial Decree no. 1035 of 17 July 2022, with which the MUR resolved to approve the final project and the plan of costs and facilities, establishing a total contribution of €328,814,550.46 for the final project with a contribution to expenditure of €320,036,606.03;</w:t>
      </w:r>
    </w:p>
    <w:p w14:paraId="306498BB" w14:textId="0B42CD8F" w:rsidR="00A32ABC" w:rsidRPr="00EA63BC" w:rsidRDefault="00C36E7E" w:rsidP="00EA63BC">
      <w:pPr>
        <w:tabs>
          <w:tab w:val="right" w:pos="9072"/>
        </w:tabs>
        <w:ind w:right="284"/>
        <w:jc w:val="both"/>
        <w:rPr>
          <w:rFonts w:ascii="Titillium Web" w:hAnsi="Titillium Web" w:cs="Tahoma"/>
          <w:bCs/>
          <w:sz w:val="22"/>
          <w:szCs w:val="22"/>
          <w:lang w:val="en-US"/>
        </w:rPr>
      </w:pPr>
      <w:r w:rsidRPr="00B321D5">
        <w:rPr>
          <w:rFonts w:ascii="Titillium Web" w:hAnsi="Titillium Web" w:cs="Tahoma"/>
          <w:bCs/>
          <w:sz w:val="22"/>
          <w:szCs w:val="22"/>
          <w:lang w:val="en-US"/>
        </w:rPr>
        <w:t>- the "</w:t>
      </w:r>
      <w:r w:rsidRPr="00B321D5">
        <w:rPr>
          <w:rFonts w:ascii="Titillium Web" w:hAnsi="Titillium Web" w:cs="Tahoma"/>
          <w:bCs/>
          <w:i/>
          <w:iCs/>
          <w:sz w:val="22"/>
          <w:szCs w:val="22"/>
          <w:lang w:val="en-US"/>
        </w:rPr>
        <w:t>National Center for Gene Therapy and Drugs based on RNA Technology</w:t>
      </w:r>
      <w:r w:rsidRPr="00B321D5">
        <w:rPr>
          <w:rFonts w:ascii="Titillium Web" w:hAnsi="Titillium Web" w:cs="Tahoma"/>
          <w:bCs/>
          <w:sz w:val="22"/>
          <w:szCs w:val="22"/>
          <w:lang w:val="en-US"/>
        </w:rPr>
        <w:t>" project, which began on 1 September 2022 with a final deadline of 31 August 2025, with the possibility of extension to 28 February 2026, provides for a cost of € 27,974,916.65 for the University of Naples Federico II, fully covered by the contribution to expenditure of € 320,036,606.03;</w:t>
      </w:r>
    </w:p>
    <w:p w14:paraId="580BBC03" w14:textId="55BCC128" w:rsidR="00B46E16" w:rsidRPr="00B321D5"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lang w:val="en-US"/>
        </w:rPr>
      </w:pPr>
      <w:r w:rsidRPr="00B321D5">
        <w:rPr>
          <w:rFonts w:ascii="Titillium Web" w:hAnsi="Titillium Web" w:cs="Tahoma"/>
          <w:sz w:val="22"/>
          <w:szCs w:val="22"/>
          <w:lang w:val="en-US"/>
        </w:rPr>
        <w:t xml:space="preserve">- </w:t>
      </w:r>
      <w:r w:rsidR="00B46E16" w:rsidRPr="00B321D5">
        <w:rPr>
          <w:rFonts w:ascii="Titillium Web" w:hAnsi="Titillium Web" w:cs="Tahoma"/>
          <w:bCs/>
          <w:sz w:val="22"/>
          <w:szCs w:val="22"/>
          <w:lang w:val="en-US"/>
        </w:rPr>
        <w:t xml:space="preserve">The Department of Pharmacy of the University of Naples Federico II, as part of the scientific research activity of the CN00000041, National Center for Gene Therapy and Drugs based on RNA Technology Development of gene therapy and drugs with RNA technology, with a specific Milestone dedicated to the creation of a plant for the production of therapeutic </w:t>
      </w:r>
      <w:r w:rsidR="00A32ABC" w:rsidRPr="00B321D5">
        <w:rPr>
          <w:rFonts w:ascii="Titillium Web" w:hAnsi="Titillium Web" w:cs="Tahoma"/>
          <w:bCs/>
          <w:sz w:val="22"/>
          <w:szCs w:val="22"/>
          <w:lang w:val="en-US"/>
        </w:rPr>
        <w:t>RNAs, intends</w:t>
      </w:r>
      <w:r w:rsidR="00B46E16" w:rsidRPr="00B321D5">
        <w:rPr>
          <w:rFonts w:ascii="Titillium Web" w:hAnsi="Titillium Web" w:cs="Tahoma"/>
          <w:bCs/>
          <w:sz w:val="22"/>
          <w:szCs w:val="22"/>
          <w:lang w:val="en-US"/>
        </w:rPr>
        <w:t xml:space="preserve"> to purchase an automated system for the production of mRNA with critical supply of reagents and processing system. This requires high-performance instrumentation that can automatically synthesize mRNA at a scale suitable for drug discovery and preclinical development. The mRNA production steps that must be performed automatically and with high repeatability are transcription from a DNA template, purification, and processing of the synthesized mRNA molecule to remove any contaminants and unwanted species. The final products must meet a high process yield and a </w:t>
      </w:r>
      <w:r w:rsidR="00A32ABC" w:rsidRPr="00B321D5">
        <w:rPr>
          <w:rFonts w:ascii="Titillium Web" w:hAnsi="Titillium Web" w:cs="Tahoma"/>
          <w:bCs/>
          <w:sz w:val="22"/>
          <w:szCs w:val="22"/>
          <w:lang w:val="en-US"/>
        </w:rPr>
        <w:t>high-quality</w:t>
      </w:r>
      <w:r w:rsidR="00B46E16" w:rsidRPr="00B321D5">
        <w:rPr>
          <w:rFonts w:ascii="Titillium Web" w:hAnsi="Titillium Web" w:cs="Tahoma"/>
          <w:bCs/>
          <w:sz w:val="22"/>
          <w:szCs w:val="22"/>
          <w:lang w:val="en-US"/>
        </w:rPr>
        <w:t xml:space="preserve"> profile.</w:t>
      </w:r>
    </w:p>
    <w:p w14:paraId="688D3655" w14:textId="77777777" w:rsidR="009D607A" w:rsidRPr="00B321D5" w:rsidRDefault="009D607A" w:rsidP="000262B2">
      <w:pPr>
        <w:tabs>
          <w:tab w:val="left" w:pos="8136"/>
        </w:tabs>
        <w:jc w:val="center"/>
        <w:rPr>
          <w:rFonts w:ascii="Titillium Web" w:hAnsi="Titillium Web" w:cs="Tahoma"/>
          <w:sz w:val="22"/>
          <w:szCs w:val="22"/>
          <w:lang w:val="en-US"/>
        </w:rPr>
      </w:pPr>
    </w:p>
    <w:p w14:paraId="5F60AB8A" w14:textId="6318A873" w:rsidR="000262B2" w:rsidRPr="00B321D5" w:rsidRDefault="000262B2" w:rsidP="000262B2">
      <w:pPr>
        <w:tabs>
          <w:tab w:val="left" w:pos="8136"/>
        </w:tabs>
        <w:jc w:val="center"/>
        <w:rPr>
          <w:rFonts w:ascii="Titillium Web" w:hAnsi="Titillium Web" w:cs="Tahoma"/>
          <w:sz w:val="22"/>
          <w:szCs w:val="22"/>
          <w:lang w:val="en-US"/>
        </w:rPr>
      </w:pPr>
      <w:r w:rsidRPr="00B321D5">
        <w:rPr>
          <w:rFonts w:ascii="Titillium Web" w:hAnsi="Titillium Web" w:cs="Tahoma"/>
          <w:sz w:val="22"/>
          <w:szCs w:val="22"/>
          <w:lang w:val="en-US"/>
        </w:rPr>
        <w:t>hereby</w:t>
      </w:r>
    </w:p>
    <w:p w14:paraId="49D5A291" w14:textId="77777777" w:rsidR="000262B2" w:rsidRPr="00B321D5" w:rsidRDefault="000262B2" w:rsidP="000262B2">
      <w:pPr>
        <w:tabs>
          <w:tab w:val="left" w:pos="8136"/>
        </w:tabs>
        <w:jc w:val="center"/>
        <w:rPr>
          <w:rFonts w:ascii="Titillium Web" w:hAnsi="Titillium Web" w:cs="Tahoma"/>
          <w:sz w:val="22"/>
          <w:szCs w:val="22"/>
          <w:lang w:val="en-US"/>
        </w:rPr>
      </w:pPr>
    </w:p>
    <w:p w14:paraId="4E3BE7B3" w14:textId="77777777" w:rsidR="009A27F2" w:rsidRPr="00B321D5" w:rsidRDefault="000262B2" w:rsidP="008A1394">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 xml:space="preserve">The operator identified in the epigraph expressly and irrevocably assumes all – none excluded – the following constraints, charges and commitments and, therefore, declares pursuant to art. 46 and 47 of Presidential Decree no. 445/2000 as amended, aware of the criminal sanctions referred to in art. 76 of the same decree: </w:t>
      </w:r>
    </w:p>
    <w:p w14:paraId="3F94FC9B" w14:textId="6D9D637B" w:rsidR="000262B2" w:rsidRPr="00B321D5" w:rsidRDefault="008A1394" w:rsidP="008A1394">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1. to be fully aware of the Documentation attached to this tender procedure, and to accept and comply with all the provisions contained therein;</w:t>
      </w:r>
    </w:p>
    <w:p w14:paraId="41C974A8" w14:textId="4078489C" w:rsidR="009D607A" w:rsidRPr="00B321D5" w:rsidRDefault="002A1A37" w:rsidP="008A1394">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 xml:space="preserve">2. to undertake (if it employs a number equal to or greater than fifty employees and is required to draw up the report on the situation of personnel pursuant to Article 46 of Legislative Decree no. 198 of 11 April 2006), to produce, under penalty of exclusion, a copy of the last report drawn up, with certification of its compliance with any report sent to the company trade union representatives and to the director </w:t>
      </w:r>
    </w:p>
    <w:p w14:paraId="7008B462" w14:textId="35C42B9A" w:rsidR="002A1A37" w:rsidRPr="00B321D5" w:rsidRDefault="002A0854" w:rsidP="008A1394">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 xml:space="preserve">or, in the event of non-compliance with the terms provided for in paragraph 1 of the same Article 46, with certification of its simultaneous transmission to the company trade union representatives and to the regional equality councillor; </w:t>
      </w:r>
    </w:p>
    <w:p w14:paraId="596477EE" w14:textId="6A4091D3" w:rsidR="008A1394" w:rsidRPr="00B321D5" w:rsidRDefault="002A0854" w:rsidP="008A1394">
      <w:pPr>
        <w:tabs>
          <w:tab w:val="left" w:pos="8136"/>
        </w:tabs>
        <w:jc w:val="both"/>
        <w:rPr>
          <w:rFonts w:ascii="Titillium Web" w:hAnsi="Titillium Web" w:cs="Tahoma"/>
          <w:iCs/>
          <w:sz w:val="22"/>
          <w:szCs w:val="22"/>
          <w:lang w:val="en-US"/>
        </w:rPr>
      </w:pPr>
      <w:r w:rsidRPr="00B321D5">
        <w:rPr>
          <w:rFonts w:ascii="Titillium Web" w:hAnsi="Titillium Web" w:cs="Tahoma"/>
          <w:sz w:val="22"/>
          <w:szCs w:val="22"/>
          <w:lang w:val="en-US"/>
        </w:rPr>
        <w:t xml:space="preserve">3. to undertake (if it employs a number equal to or greater than fifteen employees and does not exceed fifty and is not required to draw up a report on the situation of personnel, pursuant to Article 46 of Legislative Decree no. 198 of 11 April 2006) to deliver, within six months </w:t>
      </w:r>
      <w:r w:rsidR="00186455" w:rsidRPr="00B321D5">
        <w:rPr>
          <w:rFonts w:ascii="Titillium Web" w:hAnsi="Titillium Web" w:cs="Tahoma"/>
          <w:iCs/>
          <w:sz w:val="22"/>
          <w:szCs w:val="22"/>
          <w:lang w:val="en-US"/>
        </w:rPr>
        <w:t xml:space="preserve">of the conclusion of the contract, a gender report on the situation of male and female staff in each of the professions and in relation to the state of recruitment,  training, professional promotion, levels, changes in category or qualification, other </w:t>
      </w:r>
      <w:r w:rsidR="00186455" w:rsidRPr="00B321D5">
        <w:rPr>
          <w:rFonts w:ascii="Titillium Web" w:hAnsi="Titillium Web" w:cs="Tahoma"/>
          <w:iCs/>
          <w:sz w:val="22"/>
          <w:szCs w:val="22"/>
          <w:lang w:val="en-US"/>
        </w:rPr>
        <w:lastRenderedPageBreak/>
        <w:t>mobility phenomena, the intervention of the Wage Guarantee Fund, dismissals, early retirements and retirements,  remuneration</w:t>
      </w:r>
      <w:r w:rsidR="00A32ABC">
        <w:rPr>
          <w:rFonts w:ascii="Titillium Web" w:hAnsi="Titillium Web" w:cs="Tahoma"/>
          <w:iCs/>
          <w:sz w:val="22"/>
          <w:szCs w:val="22"/>
          <w:lang w:val="en-US"/>
        </w:rPr>
        <w:t xml:space="preserve"> </w:t>
      </w:r>
      <w:r w:rsidR="00186455" w:rsidRPr="00B321D5">
        <w:rPr>
          <w:rFonts w:ascii="Titillium Web" w:hAnsi="Titillium Web" w:cs="Tahoma"/>
          <w:iCs/>
          <w:sz w:val="22"/>
          <w:szCs w:val="22"/>
          <w:lang w:val="en-US"/>
        </w:rPr>
        <w:t>actually paid and to transmit the aforementioned to the company trade union representatives and to the regional equality councillor, under penalty of the application of the penalties referred to in Article 47, paragraph 6 of Decree-Law No. 77 of 31 May 2021, converted with amendments by Law No. 108 of 29 July 2021;</w:t>
      </w:r>
    </w:p>
    <w:p w14:paraId="7E20C7D3" w14:textId="15ABDBF6" w:rsidR="002A1A37" w:rsidRPr="00B321D5" w:rsidRDefault="002A0854" w:rsidP="008A1394">
      <w:pPr>
        <w:tabs>
          <w:tab w:val="left" w:pos="8136"/>
        </w:tabs>
        <w:jc w:val="both"/>
        <w:rPr>
          <w:rFonts w:ascii="Titillium Web" w:hAnsi="Titillium Web" w:cs="Tahoma"/>
          <w:iCs/>
          <w:sz w:val="22"/>
          <w:szCs w:val="22"/>
          <w:lang w:val="en-US"/>
        </w:rPr>
      </w:pPr>
      <w:r w:rsidRPr="00B321D5">
        <w:rPr>
          <w:rFonts w:ascii="Titillium Web" w:hAnsi="Titillium Web" w:cs="Tahoma"/>
          <w:iCs/>
          <w:sz w:val="22"/>
          <w:szCs w:val="22"/>
          <w:lang w:val="en-US"/>
        </w:rPr>
        <w:t>4. to undertake (if it employs a number equal to or greater than fifteen) to deliver, within six months of the conclusion of the contract, a report clarifying the fulfilment of the obligations provided for by Law no. 68 of 12 March 1999, and illustrating any sanctions and measures imposed on companies in the three years preceding the deadline for the submission of tenders. The economic operator is also required to transmit the report to the company trade union representatives, under penalty of the application of the penalties referred to in art. 47, paragraph 6, of Decree-Law No. 77 of 31 May 2021, converted with amendments by Law No. 108 of 29 July 2021;</w:t>
      </w:r>
      <w:bookmarkStart w:id="0" w:name="_Hlk132361389"/>
      <w:bookmarkEnd w:id="0"/>
    </w:p>
    <w:p w14:paraId="26CB527B" w14:textId="77777777" w:rsidR="00D7556E" w:rsidRPr="00B321D5" w:rsidRDefault="00686D9F" w:rsidP="00D7556E">
      <w:pPr>
        <w:tabs>
          <w:tab w:val="left" w:pos="8136"/>
        </w:tabs>
        <w:jc w:val="both"/>
        <w:rPr>
          <w:rFonts w:ascii="Titillium Web" w:hAnsi="Titillium Web" w:cs="Tahoma"/>
          <w:iCs/>
          <w:sz w:val="22"/>
          <w:szCs w:val="22"/>
          <w:lang w:val="en-US"/>
        </w:rPr>
      </w:pPr>
      <w:r w:rsidRPr="00B321D5">
        <w:rPr>
          <w:rFonts w:ascii="Titillium Web" w:hAnsi="Titillium Web" w:cs="Tahoma"/>
          <w:iCs/>
          <w:sz w:val="22"/>
          <w:szCs w:val="22"/>
          <w:lang w:val="en-US"/>
        </w:rPr>
        <w:t xml:space="preserve">5. to undertake (in the event of the award of the tender procedure in its favour) to ensure: </w:t>
      </w:r>
    </w:p>
    <w:p w14:paraId="3757CA75" w14:textId="4D5090AE" w:rsidR="00D7556E" w:rsidRPr="00B321D5" w:rsidRDefault="00D7556E" w:rsidP="00D7556E">
      <w:pPr>
        <w:tabs>
          <w:tab w:val="left" w:pos="8136"/>
        </w:tabs>
        <w:jc w:val="both"/>
        <w:rPr>
          <w:rFonts w:ascii="Titillium Web" w:hAnsi="Titillium Web" w:cs="Tahoma"/>
          <w:iCs/>
          <w:sz w:val="22"/>
          <w:szCs w:val="22"/>
          <w:lang w:val="en-US"/>
        </w:rPr>
      </w:pPr>
      <w:r w:rsidRPr="00B321D5">
        <w:rPr>
          <w:rFonts w:ascii="Titillium Web" w:hAnsi="Titillium Web" w:cs="Tahoma"/>
          <w:iCs/>
          <w:sz w:val="22"/>
          <w:szCs w:val="22"/>
          <w:lang w:val="en-US"/>
        </w:rPr>
        <w:t>- a quota equal to 30% of the hires necessary for the execution of the contract or for the implementation of activities related to it or instrumental to youth employment (under 36 years of age);</w:t>
      </w:r>
    </w:p>
    <w:p w14:paraId="593EC299" w14:textId="70DA1DEC" w:rsidR="00686D9F" w:rsidRPr="00B321D5" w:rsidRDefault="00D7556E" w:rsidP="008A1394">
      <w:pPr>
        <w:tabs>
          <w:tab w:val="left" w:pos="8136"/>
        </w:tabs>
        <w:jc w:val="both"/>
        <w:rPr>
          <w:rFonts w:ascii="Titillium Web" w:hAnsi="Titillium Web" w:cs="Tahoma"/>
          <w:iCs/>
          <w:sz w:val="22"/>
          <w:szCs w:val="22"/>
          <w:lang w:val="en-US"/>
        </w:rPr>
      </w:pPr>
      <w:r w:rsidRPr="00B321D5">
        <w:rPr>
          <w:rFonts w:ascii="Titillium Web" w:hAnsi="Titillium Web" w:cs="Tahoma"/>
          <w:iCs/>
          <w:sz w:val="22"/>
          <w:szCs w:val="22"/>
          <w:lang w:val="en-US"/>
        </w:rPr>
        <w:t>- a quota equal to 30% of the hires necessary for the execution of the contract or for the implementation of activities related to it or instrumental to women's employment.</w:t>
      </w:r>
    </w:p>
    <w:p w14:paraId="282AF915" w14:textId="230CDB15" w:rsidR="00135C2B" w:rsidRPr="00B321D5" w:rsidRDefault="00686D9F" w:rsidP="00135C2B">
      <w:pPr>
        <w:tabs>
          <w:tab w:val="left" w:pos="8136"/>
        </w:tabs>
        <w:jc w:val="both"/>
        <w:rPr>
          <w:rFonts w:ascii="Titillium Web" w:hAnsi="Titillium Web" w:cs="Tahoma"/>
          <w:iCs/>
          <w:sz w:val="22"/>
          <w:szCs w:val="22"/>
          <w:lang w:val="en-US"/>
        </w:rPr>
      </w:pPr>
      <w:r w:rsidRPr="00B321D5">
        <w:rPr>
          <w:rFonts w:ascii="Titillium Web" w:hAnsi="Titillium Web" w:cs="Tahoma"/>
          <w:iCs/>
          <w:sz w:val="22"/>
          <w:szCs w:val="22"/>
          <w:lang w:val="en-US"/>
        </w:rPr>
        <w:t>6. to commit to complying with the specific obligations of the PNRR, including the principle of not causing significant damage to the so-called environmental objectives. "Do No Significant Harm" (DNSH) pursuant to Article 17 of Regulation (EU) 2020/852 of the European Parliament and of the Council of 18 June 2020, as well as with reference to the "Operational Guide" referred to in MEF Circular No. 22 of 14 May 2024.</w:t>
      </w:r>
    </w:p>
    <w:p w14:paraId="29239142" w14:textId="4F4D3AE7" w:rsidR="00135C2B" w:rsidRPr="00B321D5" w:rsidRDefault="00135C2B" w:rsidP="00135C2B">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The competitor also undertakes to provide, pursuant to MEF Decree no. 55 of 11 March 2022, the data necessary for the identification of the beneficial owner of the economic operator itself (pursuant to Article 20 of Legislative Decree 231/2007).</w:t>
      </w:r>
    </w:p>
    <w:p w14:paraId="3BB73A20" w14:textId="0A8835C9" w:rsidR="00CF38E2" w:rsidRPr="00B321D5" w:rsidRDefault="00135C2B" w:rsidP="008A1394">
      <w:pPr>
        <w:tabs>
          <w:tab w:val="left" w:pos="8136"/>
        </w:tabs>
        <w:jc w:val="both"/>
        <w:rPr>
          <w:rFonts w:ascii="Titillium Web" w:hAnsi="Titillium Web" w:cs="Tahoma"/>
          <w:sz w:val="22"/>
          <w:szCs w:val="22"/>
          <w:lang w:val="en-US"/>
        </w:rPr>
      </w:pPr>
      <w:r w:rsidRPr="00B321D5">
        <w:rPr>
          <w:rFonts w:ascii="Titillium Web" w:hAnsi="Titillium Web" w:cs="Tahoma"/>
          <w:sz w:val="22"/>
          <w:szCs w:val="22"/>
          <w:lang w:val="en-US"/>
        </w:rPr>
        <w:t xml:space="preserve">The tenderer and the beneficial owner undertake to declare the absence of situations of conflict, even potential, of interests in relation to this procedure and to undertake, should such a situation occur at a later date, to promptly notify the contracting authority. </w:t>
      </w:r>
    </w:p>
    <w:p w14:paraId="05C89294" w14:textId="77777777" w:rsidR="00CF38E2" w:rsidRPr="00B321D5" w:rsidRDefault="00CF38E2" w:rsidP="008A1394">
      <w:pPr>
        <w:tabs>
          <w:tab w:val="left" w:pos="8136"/>
        </w:tabs>
        <w:jc w:val="both"/>
        <w:rPr>
          <w:rFonts w:ascii="Titillium Web" w:hAnsi="Titillium Web" w:cs="Tahoma"/>
          <w:sz w:val="22"/>
          <w:szCs w:val="22"/>
          <w:lang w:val="en-US"/>
        </w:rPr>
      </w:pPr>
    </w:p>
    <w:p w14:paraId="6D2650A2" w14:textId="77777777" w:rsidR="00A32ABC" w:rsidRDefault="00A32ABC" w:rsidP="00CF38E2">
      <w:pPr>
        <w:pStyle w:val="Default"/>
        <w:ind w:right="140"/>
        <w:jc w:val="both"/>
        <w:rPr>
          <w:rFonts w:ascii="Titillium Web" w:hAnsi="Titillium Web"/>
          <w:iCs/>
          <w:sz w:val="22"/>
          <w:szCs w:val="22"/>
        </w:rPr>
      </w:pPr>
    </w:p>
    <w:p w14:paraId="2865F295" w14:textId="77777777" w:rsidR="00A32ABC" w:rsidRDefault="00A32ABC" w:rsidP="00CF38E2">
      <w:pPr>
        <w:pStyle w:val="Default"/>
        <w:ind w:right="140"/>
        <w:jc w:val="both"/>
        <w:rPr>
          <w:rFonts w:ascii="Titillium Web" w:hAnsi="Titillium Web"/>
          <w:iCs/>
          <w:sz w:val="22"/>
          <w:szCs w:val="22"/>
        </w:rPr>
      </w:pPr>
    </w:p>
    <w:p w14:paraId="605F80CD" w14:textId="71F03D20"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w:t>
      </w:r>
      <w:r w:rsidR="00A32ABC">
        <w:rPr>
          <w:rFonts w:ascii="Titillium Web" w:hAnsi="Titillium Web"/>
          <w:iCs/>
          <w:sz w:val="22"/>
          <w:szCs w:val="22"/>
        </w:rPr>
        <w:t xml:space="preserve">        on   </w:t>
      </w:r>
      <w:r w:rsidRPr="000F429E">
        <w:rPr>
          <w:rFonts w:ascii="Titillium Web" w:hAnsi="Titillium Web"/>
          <w:iCs/>
          <w:sz w:val="22"/>
          <w:szCs w:val="22"/>
        </w:rPr>
        <w:t>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SIGNATORY</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3AE889B2"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digitally signed</w:t>
      </w:r>
    </w:p>
    <w:sectPr w:rsidR="00CF38E2" w:rsidRPr="000F4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53B0" w14:textId="77777777" w:rsidR="004772CF" w:rsidRDefault="004772CF" w:rsidP="00AC4A5E">
      <w:r>
        <w:separator/>
      </w:r>
    </w:p>
  </w:endnote>
  <w:endnote w:type="continuationSeparator" w:id="0">
    <w:p w14:paraId="04425E7F" w14:textId="77777777" w:rsidR="004772CF" w:rsidRDefault="004772CF"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altName w:val="Calibri"/>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rsidR="002F38C8">
          <w:rPr>
            <w:noProof/>
          </w:rPr>
          <w:t>3</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2B42" w14:textId="77777777" w:rsidR="004772CF" w:rsidRDefault="004772CF" w:rsidP="00AC4A5E">
      <w:r>
        <w:separator/>
      </w:r>
    </w:p>
  </w:footnote>
  <w:footnote w:type="continuationSeparator" w:id="0">
    <w:p w14:paraId="2DFE8F99" w14:textId="77777777" w:rsidR="004772CF" w:rsidRDefault="004772CF"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BD3A" w14:textId="7AF94A5E" w:rsidR="00C30C1A" w:rsidRDefault="000F3B73">
    <w:pPr>
      <w:pStyle w:val="Intestazione"/>
    </w:pPr>
    <w:r>
      <w:rPr>
        <w:noProof/>
        <w:lang w:eastAsia="it-IT"/>
      </w:rPr>
      <w:drawing>
        <wp:anchor distT="0" distB="0" distL="114300" distR="114300" simplePos="0" relativeHeight="251661312" behindDoc="0" locked="0" layoutInCell="1" allowOverlap="1" wp14:anchorId="48A6E791" wp14:editId="09E2F000">
          <wp:simplePos x="0" y="0"/>
          <wp:positionH relativeFrom="column">
            <wp:posOffset>4994910</wp:posOffset>
          </wp:positionH>
          <wp:positionV relativeFrom="paragraph">
            <wp:posOffset>-240030</wp:posOffset>
          </wp:positionV>
          <wp:extent cx="1381125" cy="423789"/>
          <wp:effectExtent l="0" t="0" r="0" b="0"/>
          <wp:wrapNone/>
          <wp:docPr id="1"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46B58E22" wp14:editId="32529188">
          <wp:simplePos x="0" y="0"/>
          <wp:positionH relativeFrom="page">
            <wp:align>left</wp:align>
          </wp:positionH>
          <wp:positionV relativeFrom="paragraph">
            <wp:posOffset>-448310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0977016">
    <w:abstractNumId w:val="0"/>
  </w:num>
  <w:num w:numId="2" w16cid:durableId="1449472190">
    <w:abstractNumId w:val="2"/>
  </w:num>
  <w:num w:numId="3" w16cid:durableId="1963000620">
    <w:abstractNumId w:val="4"/>
  </w:num>
  <w:num w:numId="4" w16cid:durableId="226458062">
    <w:abstractNumId w:val="3"/>
  </w:num>
  <w:num w:numId="5" w16cid:durableId="1626349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8F"/>
    <w:rsid w:val="000262B2"/>
    <w:rsid w:val="00062031"/>
    <w:rsid w:val="0006390B"/>
    <w:rsid w:val="000A405D"/>
    <w:rsid w:val="000E24B3"/>
    <w:rsid w:val="000F3B73"/>
    <w:rsid w:val="000F429E"/>
    <w:rsid w:val="00135C2B"/>
    <w:rsid w:val="001832AF"/>
    <w:rsid w:val="00186455"/>
    <w:rsid w:val="00190B47"/>
    <w:rsid w:val="001B114C"/>
    <w:rsid w:val="001B5E12"/>
    <w:rsid w:val="001D57D6"/>
    <w:rsid w:val="001F0880"/>
    <w:rsid w:val="001F3B5F"/>
    <w:rsid w:val="001F6879"/>
    <w:rsid w:val="002350C4"/>
    <w:rsid w:val="00284D61"/>
    <w:rsid w:val="002A0854"/>
    <w:rsid w:val="002A1A37"/>
    <w:rsid w:val="002A5D47"/>
    <w:rsid w:val="002F38C8"/>
    <w:rsid w:val="00310058"/>
    <w:rsid w:val="00312A1C"/>
    <w:rsid w:val="0032663F"/>
    <w:rsid w:val="00373F26"/>
    <w:rsid w:val="003B0CEF"/>
    <w:rsid w:val="003B6F0D"/>
    <w:rsid w:val="003C24C5"/>
    <w:rsid w:val="0047151D"/>
    <w:rsid w:val="004772CF"/>
    <w:rsid w:val="004C3F7A"/>
    <w:rsid w:val="004E2691"/>
    <w:rsid w:val="0056278F"/>
    <w:rsid w:val="00594B73"/>
    <w:rsid w:val="005D602E"/>
    <w:rsid w:val="005E3183"/>
    <w:rsid w:val="006224EA"/>
    <w:rsid w:val="0065084D"/>
    <w:rsid w:val="00660EDA"/>
    <w:rsid w:val="00686D9F"/>
    <w:rsid w:val="006A301A"/>
    <w:rsid w:val="006B6EB9"/>
    <w:rsid w:val="00720296"/>
    <w:rsid w:val="00732A74"/>
    <w:rsid w:val="00747F2B"/>
    <w:rsid w:val="007513B8"/>
    <w:rsid w:val="007636F6"/>
    <w:rsid w:val="00795B88"/>
    <w:rsid w:val="007C4A36"/>
    <w:rsid w:val="00803151"/>
    <w:rsid w:val="00870C5E"/>
    <w:rsid w:val="008870CC"/>
    <w:rsid w:val="008A1394"/>
    <w:rsid w:val="008D7F9B"/>
    <w:rsid w:val="008F1351"/>
    <w:rsid w:val="0090153D"/>
    <w:rsid w:val="00911A25"/>
    <w:rsid w:val="009218BB"/>
    <w:rsid w:val="009248B9"/>
    <w:rsid w:val="009407A8"/>
    <w:rsid w:val="00951EBF"/>
    <w:rsid w:val="009762D5"/>
    <w:rsid w:val="009A27F2"/>
    <w:rsid w:val="009B09E5"/>
    <w:rsid w:val="009D607A"/>
    <w:rsid w:val="009F06AD"/>
    <w:rsid w:val="00A32ABC"/>
    <w:rsid w:val="00A3666E"/>
    <w:rsid w:val="00A46F6F"/>
    <w:rsid w:val="00A714C4"/>
    <w:rsid w:val="00AA52F2"/>
    <w:rsid w:val="00AB767E"/>
    <w:rsid w:val="00AC431F"/>
    <w:rsid w:val="00AC4A5E"/>
    <w:rsid w:val="00B2456D"/>
    <w:rsid w:val="00B250E1"/>
    <w:rsid w:val="00B321D5"/>
    <w:rsid w:val="00B46E16"/>
    <w:rsid w:val="00B5666E"/>
    <w:rsid w:val="00B6078C"/>
    <w:rsid w:val="00B66859"/>
    <w:rsid w:val="00B80223"/>
    <w:rsid w:val="00BE3321"/>
    <w:rsid w:val="00C044E9"/>
    <w:rsid w:val="00C146DD"/>
    <w:rsid w:val="00C30C1A"/>
    <w:rsid w:val="00C30E94"/>
    <w:rsid w:val="00C36E7E"/>
    <w:rsid w:val="00C439B3"/>
    <w:rsid w:val="00CE5433"/>
    <w:rsid w:val="00CE6113"/>
    <w:rsid w:val="00CE6972"/>
    <w:rsid w:val="00CF38E2"/>
    <w:rsid w:val="00D23B20"/>
    <w:rsid w:val="00D420AF"/>
    <w:rsid w:val="00D7556E"/>
    <w:rsid w:val="00D778F8"/>
    <w:rsid w:val="00D80B38"/>
    <w:rsid w:val="00D8158D"/>
    <w:rsid w:val="00DC37FB"/>
    <w:rsid w:val="00DF7D93"/>
    <w:rsid w:val="00E013E5"/>
    <w:rsid w:val="00EA2D08"/>
    <w:rsid w:val="00EA63BC"/>
    <w:rsid w:val="00EB4E62"/>
    <w:rsid w:val="00EC79B0"/>
    <w:rsid w:val="00FA6F13"/>
    <w:rsid w:val="00FE1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character" w:styleId="Rimandocommento">
    <w:name w:val="annotation reference"/>
    <w:basedOn w:val="Carpredefinitoparagrafo"/>
    <w:uiPriority w:val="99"/>
    <w:semiHidden/>
    <w:unhideWhenUsed/>
    <w:rsid w:val="00B80223"/>
    <w:rPr>
      <w:sz w:val="16"/>
      <w:szCs w:val="16"/>
    </w:rPr>
  </w:style>
  <w:style w:type="paragraph" w:styleId="Testocommento">
    <w:name w:val="annotation text"/>
    <w:basedOn w:val="Normale"/>
    <w:link w:val="TestocommentoCarattere"/>
    <w:uiPriority w:val="99"/>
    <w:unhideWhenUsed/>
    <w:rsid w:val="00B80223"/>
    <w:rPr>
      <w:sz w:val="20"/>
      <w:szCs w:val="20"/>
    </w:rPr>
  </w:style>
  <w:style w:type="character" w:customStyle="1" w:styleId="TestocommentoCarattere">
    <w:name w:val="Testo commento Carattere"/>
    <w:basedOn w:val="Carpredefinitoparagrafo"/>
    <w:link w:val="Testocommento"/>
    <w:uiPriority w:val="99"/>
    <w:rsid w:val="00B80223"/>
    <w:rPr>
      <w:rFonts w:ascii="Times New Roman" w:eastAsia="Times New Roman" w:hAnsi="Times New Roman" w:cs="Times New Roman"/>
      <w:kern w:val="0"/>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B80223"/>
    <w:rPr>
      <w:b/>
      <w:bCs/>
    </w:rPr>
  </w:style>
  <w:style w:type="character" w:customStyle="1" w:styleId="SoggettocommentoCarattere">
    <w:name w:val="Soggetto commento Carattere"/>
    <w:basedOn w:val="TestocommentoCarattere"/>
    <w:link w:val="Soggettocommento"/>
    <w:uiPriority w:val="99"/>
    <w:semiHidden/>
    <w:rsid w:val="00B80223"/>
    <w:rPr>
      <w:rFonts w:ascii="Times New Roman" w:eastAsia="Times New Roman" w:hAnsi="Times New Roman" w:cs="Times New Roman"/>
      <w:b/>
      <w:bCs/>
      <w:kern w:val="0"/>
      <w:sz w:val="20"/>
      <w:szCs w:val="20"/>
      <w:lang w:eastAsia="ar-SA"/>
      <w14:ligatures w14:val="none"/>
    </w:rPr>
  </w:style>
  <w:style w:type="paragraph" w:styleId="Revisione">
    <w:name w:val="Revision"/>
    <w:hidden/>
    <w:uiPriority w:val="99"/>
    <w:semiHidden/>
    <w:rsid w:val="002A5D47"/>
    <w:pPr>
      <w:spacing w:after="0" w:line="240" w:lineRule="auto"/>
    </w:pPr>
    <w:rPr>
      <w:rFonts w:ascii="Times New Roman" w:eastAsia="Times New Roman" w:hAnsi="Times New Roman" w:cs="Times New Roman"/>
      <w:kern w:val="0"/>
      <w:sz w:val="24"/>
      <w:szCs w:val="24"/>
      <w:lang w:eastAsia="ar-SA"/>
      <w14:ligatures w14:val="none"/>
    </w:rPr>
  </w:style>
  <w:style w:type="character" w:styleId="Testosegnaposto">
    <w:name w:val="Placeholder Text"/>
    <w:basedOn w:val="Carpredefinitoparagrafo"/>
    <w:uiPriority w:val="99"/>
    <w:semiHidden/>
    <w:rsid w:val="00B321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240726">
      <w:bodyDiv w:val="1"/>
      <w:marLeft w:val="0"/>
      <w:marRight w:val="0"/>
      <w:marTop w:val="0"/>
      <w:marBottom w:val="0"/>
      <w:divBdr>
        <w:top w:val="none" w:sz="0" w:space="0" w:color="auto"/>
        <w:left w:val="none" w:sz="0" w:space="0" w:color="auto"/>
        <w:bottom w:val="none" w:sz="0" w:space="0" w:color="auto"/>
        <w:right w:val="none" w:sz="0" w:space="0" w:color="auto"/>
      </w:divBdr>
    </w:div>
    <w:div w:id="1244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1332</Words>
  <Characters>7598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MARIA COLANGELO</cp:lastModifiedBy>
  <cp:revision>4</cp:revision>
  <dcterms:created xsi:type="dcterms:W3CDTF">2024-09-30T12:28:00Z</dcterms:created>
  <dcterms:modified xsi:type="dcterms:W3CDTF">2024-10-15T11:23:00Z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2024-06-08T18:41:57Z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06e4f961-82d6-4585-8954-4e7833c00af5</vt:lpwstr>
  </property>
  <property fmtid="{D5CDD505-2E9C-101B-9397-08002B2CF9AE}" pid="8" name="MSIP_Label_2ad0b24d-6422-44b0-b3de-abb3a9e8c81a_ContentBits">
    <vt:lpwstr>0</vt:lpwstr>
  </property>
</Properties>
</file>