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2DB2" w14:textId="7DC3B730" w:rsidR="0056278F" w:rsidRPr="00D7556E" w:rsidRDefault="0056278F" w:rsidP="0056278F">
      <w:pPr>
        <w:tabs>
          <w:tab w:val="left" w:pos="8136"/>
        </w:tabs>
        <w:rPr>
          <w:rFonts w:ascii="Titillium Web" w:hAnsi="Titillium Web"/>
        </w:rPr>
      </w:pPr>
    </w:p>
    <w:p w14:paraId="4AF2DB42" w14:textId="77777777" w:rsidR="0056278F" w:rsidRPr="00D7556E" w:rsidRDefault="0056278F" w:rsidP="0056278F">
      <w:pPr>
        <w:tabs>
          <w:tab w:val="left" w:pos="8136"/>
        </w:tabs>
        <w:rPr>
          <w:rFonts w:ascii="Titillium Web" w:hAnsi="Titillium Web"/>
        </w:rPr>
      </w:pPr>
    </w:p>
    <w:p w14:paraId="0ABBF938"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PNRR Missione 4, Componente 2, Investimento 1.4 “Potenziamento strutture di ricerca e</w:t>
      </w:r>
    </w:p>
    <w:p w14:paraId="685482ED"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creazione di "campioni nazionali di R&amp;S" su alcune Key </w:t>
      </w:r>
      <w:proofErr w:type="spellStart"/>
      <w:r w:rsidRPr="00312A1C">
        <w:rPr>
          <w:rFonts w:ascii="Titillium Web" w:hAnsi="Titillium Web" w:cs="Calibri"/>
          <w:b/>
          <w:bCs/>
          <w:sz w:val="20"/>
          <w:szCs w:val="20"/>
          <w:lang w:eastAsia="en-US"/>
        </w:rPr>
        <w:t>Enabling</w:t>
      </w:r>
      <w:proofErr w:type="spellEnd"/>
      <w:r w:rsidRPr="00312A1C">
        <w:rPr>
          <w:rFonts w:ascii="Titillium Web" w:hAnsi="Titillium Web" w:cs="Calibri"/>
          <w:b/>
          <w:bCs/>
          <w:sz w:val="20"/>
          <w:szCs w:val="20"/>
          <w:lang w:eastAsia="en-US"/>
        </w:rPr>
        <w:t xml:space="preserve"> Technologies”</w:t>
      </w:r>
    </w:p>
    <w:p w14:paraId="0D2FB709"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 xml:space="preserve">Iniziativa finanziata dall’Unione europea –- </w:t>
      </w:r>
      <w:proofErr w:type="spellStart"/>
      <w:r w:rsidRPr="00312A1C">
        <w:rPr>
          <w:rFonts w:ascii="Titillium Web" w:hAnsi="Titillium Web" w:cs="Calibri"/>
          <w:b/>
          <w:bCs/>
          <w:sz w:val="20"/>
          <w:szCs w:val="20"/>
          <w:lang w:eastAsia="en-US"/>
        </w:rPr>
        <w:t>NextGenerationEU</w:t>
      </w:r>
      <w:proofErr w:type="spellEnd"/>
      <w:r w:rsidRPr="00312A1C">
        <w:rPr>
          <w:rFonts w:ascii="Titillium Web" w:hAnsi="Titillium Web" w:cs="Calibri"/>
          <w:b/>
          <w:bCs/>
          <w:sz w:val="20"/>
          <w:szCs w:val="20"/>
          <w:lang w:eastAsia="en-US"/>
        </w:rPr>
        <w:t>.</w:t>
      </w:r>
    </w:p>
    <w:p w14:paraId="7A8D8E30" w14:textId="77777777" w:rsidR="00312A1C" w:rsidRPr="00312A1C" w:rsidRDefault="00312A1C" w:rsidP="00312A1C">
      <w:pPr>
        <w:widowControl w:val="0"/>
        <w:suppressAutoHyphens w:val="0"/>
        <w:jc w:val="center"/>
        <w:rPr>
          <w:rFonts w:ascii="Titillium Web" w:hAnsi="Titillium Web" w:cs="Calibri"/>
          <w:b/>
          <w:bCs/>
          <w:sz w:val="20"/>
          <w:szCs w:val="20"/>
          <w:lang w:val="en-US" w:eastAsia="en-US"/>
        </w:rPr>
      </w:pPr>
      <w:r w:rsidRPr="00312A1C">
        <w:rPr>
          <w:rFonts w:ascii="Titillium Web" w:hAnsi="Titillium Web" w:cs="Calibri"/>
          <w:b/>
          <w:bCs/>
          <w:sz w:val="20"/>
          <w:szCs w:val="20"/>
          <w:lang w:val="en-US" w:eastAsia="en-US"/>
        </w:rPr>
        <w:t>National Center for Gene Therapy and Drugs based on RNA Technology</w:t>
      </w:r>
    </w:p>
    <w:p w14:paraId="2394B0F0" w14:textId="77777777" w:rsidR="00312A1C" w:rsidRPr="00312A1C" w:rsidRDefault="00312A1C" w:rsidP="00312A1C">
      <w:pPr>
        <w:widowControl w:val="0"/>
        <w:suppressAutoHyphens w:val="0"/>
        <w:jc w:val="center"/>
        <w:rPr>
          <w:rFonts w:ascii="Titillium Web" w:hAnsi="Titillium Web" w:cs="Calibri"/>
          <w:b/>
          <w:bCs/>
          <w:sz w:val="20"/>
          <w:szCs w:val="20"/>
          <w:lang w:eastAsia="en-US"/>
        </w:rPr>
      </w:pPr>
      <w:r w:rsidRPr="00312A1C">
        <w:rPr>
          <w:rFonts w:ascii="Titillium Web" w:hAnsi="Titillium Web" w:cs="Calibri"/>
          <w:b/>
          <w:bCs/>
          <w:sz w:val="20"/>
          <w:szCs w:val="20"/>
          <w:lang w:eastAsia="en-US"/>
        </w:rPr>
        <w:t>Sviluppo di terapia genica e farmaci con tecnologia a RNA</w:t>
      </w:r>
    </w:p>
    <w:p w14:paraId="17798E74" w14:textId="1A54B770" w:rsidR="0056278F" w:rsidRPr="00D7556E" w:rsidRDefault="00312A1C" w:rsidP="00312A1C">
      <w:pPr>
        <w:tabs>
          <w:tab w:val="left" w:pos="8136"/>
        </w:tabs>
        <w:jc w:val="center"/>
        <w:rPr>
          <w:rFonts w:ascii="Titillium Web" w:hAnsi="Titillium Web" w:cs="Calibri"/>
          <w:bCs/>
          <w:sz w:val="22"/>
          <w:szCs w:val="22"/>
        </w:rPr>
      </w:pPr>
      <w:r w:rsidRPr="00312A1C">
        <w:rPr>
          <w:rFonts w:ascii="Titillium Web" w:hAnsi="Titillium Web" w:cs="Calibri"/>
          <w:b/>
          <w:bCs/>
          <w:sz w:val="20"/>
          <w:szCs w:val="20"/>
          <w:lang w:eastAsia="en-US"/>
        </w:rPr>
        <w:t>Codice progetto MUR: CN00000041 – CUP UNINA: E63C22000940007</w:t>
      </w:r>
    </w:p>
    <w:p w14:paraId="0C9E853E" w14:textId="77777777" w:rsidR="0056278F" w:rsidRPr="00D7556E" w:rsidRDefault="0056278F" w:rsidP="0056278F">
      <w:pPr>
        <w:tabs>
          <w:tab w:val="left" w:pos="8136"/>
        </w:tabs>
        <w:jc w:val="both"/>
        <w:rPr>
          <w:rFonts w:ascii="Titillium Web" w:hAnsi="Titillium Web" w:cs="Calibri"/>
          <w:bCs/>
          <w:sz w:val="22"/>
          <w:szCs w:val="22"/>
        </w:rPr>
      </w:pPr>
    </w:p>
    <w:p w14:paraId="14565BC0" w14:textId="77777777" w:rsidR="001B5E12" w:rsidRPr="009762D5" w:rsidRDefault="0056278F" w:rsidP="001B5E12">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rPr>
      </w:pPr>
      <w:r w:rsidRPr="009762D5">
        <w:rPr>
          <w:rFonts w:ascii="Titillium Web" w:hAnsi="Titillium Web"/>
          <w:b/>
          <w:bCs/>
          <w:iCs/>
        </w:rPr>
        <w:tab/>
        <w:t>ATTO DI IMPEGNO</w:t>
      </w:r>
    </w:p>
    <w:p w14:paraId="4195C960" w14:textId="0BEE9E65" w:rsidR="001B5E12" w:rsidRPr="002A5D47" w:rsidRDefault="009D607A" w:rsidP="00B46E16">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lang w:val="en-US"/>
        </w:rPr>
      </w:pPr>
      <w:r w:rsidRPr="009D607A">
        <w:rPr>
          <w:rFonts w:ascii="Titillium Web" w:hAnsi="Titillium Web"/>
          <w:b/>
          <w:bCs/>
          <w:iCs/>
        </w:rPr>
        <w:t xml:space="preserve">Procedura aperta con applicazione del criterio dell’offerta economicamente più vantaggiosa individuata sulla base del miglior rapporto qualità prezzo, ai sensi degli artt. </w:t>
      </w:r>
      <w:r w:rsidRPr="002A5D47">
        <w:rPr>
          <w:rFonts w:ascii="Titillium Web" w:hAnsi="Titillium Web"/>
          <w:b/>
          <w:bCs/>
          <w:iCs/>
          <w:lang w:val="en-US"/>
        </w:rPr>
        <w:t xml:space="preserve">71 e 108 comma 1 del </w:t>
      </w:r>
      <w:proofErr w:type="spellStart"/>
      <w:r w:rsidRPr="002A5D47">
        <w:rPr>
          <w:rFonts w:ascii="Titillium Web" w:hAnsi="Titillium Web"/>
          <w:b/>
          <w:bCs/>
          <w:iCs/>
          <w:lang w:val="en-US"/>
        </w:rPr>
        <w:t>D.lgs</w:t>
      </w:r>
      <w:proofErr w:type="spellEnd"/>
      <w:r w:rsidRPr="002A5D47">
        <w:rPr>
          <w:rFonts w:ascii="Titillium Web" w:hAnsi="Titillium Web"/>
          <w:b/>
          <w:bCs/>
          <w:iCs/>
          <w:lang w:val="en-US"/>
        </w:rPr>
        <w:t xml:space="preserve">. n. 36/2023 </w:t>
      </w:r>
      <w:proofErr w:type="spellStart"/>
      <w:r w:rsidRPr="002A5D47">
        <w:rPr>
          <w:rFonts w:ascii="Titillium Web" w:hAnsi="Titillium Web"/>
          <w:b/>
          <w:bCs/>
          <w:iCs/>
          <w:lang w:val="en-US"/>
        </w:rPr>
        <w:t>s.m.i</w:t>
      </w:r>
      <w:proofErr w:type="spellEnd"/>
      <w:r w:rsidRPr="002A5D47">
        <w:rPr>
          <w:rFonts w:ascii="Titillium Web" w:hAnsi="Titillium Web"/>
          <w:b/>
          <w:bCs/>
          <w:iCs/>
          <w:lang w:val="en-US"/>
        </w:rPr>
        <w:t xml:space="preserve">. </w:t>
      </w:r>
      <w:proofErr w:type="spellStart"/>
      <w:r w:rsidRPr="002A5D47">
        <w:rPr>
          <w:rFonts w:ascii="Titillium Web" w:hAnsi="Titillium Web"/>
          <w:b/>
          <w:bCs/>
          <w:iCs/>
          <w:lang w:val="en-US"/>
        </w:rPr>
        <w:t>avente</w:t>
      </w:r>
      <w:proofErr w:type="spellEnd"/>
      <w:r w:rsidRPr="002A5D47">
        <w:rPr>
          <w:rFonts w:ascii="Titillium Web" w:hAnsi="Titillium Web"/>
          <w:b/>
          <w:bCs/>
          <w:iCs/>
          <w:lang w:val="en-US"/>
        </w:rPr>
        <w:t xml:space="preserve"> </w:t>
      </w:r>
      <w:proofErr w:type="spellStart"/>
      <w:r w:rsidRPr="002A5D47">
        <w:rPr>
          <w:rFonts w:ascii="Titillium Web" w:hAnsi="Titillium Web"/>
          <w:b/>
          <w:bCs/>
          <w:iCs/>
          <w:lang w:val="en-US"/>
        </w:rPr>
        <w:t>ad</w:t>
      </w:r>
      <w:proofErr w:type="spellEnd"/>
      <w:r w:rsidRPr="002A5D47">
        <w:rPr>
          <w:rFonts w:ascii="Titillium Web" w:hAnsi="Titillium Web"/>
          <w:b/>
          <w:bCs/>
          <w:iCs/>
          <w:lang w:val="en-US"/>
        </w:rPr>
        <w:t xml:space="preserve"> </w:t>
      </w:r>
      <w:proofErr w:type="spellStart"/>
      <w:r w:rsidRPr="002A5D47">
        <w:rPr>
          <w:rFonts w:ascii="Titillium Web" w:hAnsi="Titillium Web"/>
          <w:b/>
          <w:bCs/>
          <w:iCs/>
          <w:lang w:val="en-US"/>
        </w:rPr>
        <w:t>oggetto</w:t>
      </w:r>
      <w:proofErr w:type="spellEnd"/>
      <w:r w:rsidRPr="002A5D47">
        <w:rPr>
          <w:rFonts w:ascii="Titillium Web" w:hAnsi="Titillium Web"/>
          <w:b/>
          <w:bCs/>
          <w:iCs/>
          <w:lang w:val="en-US"/>
        </w:rPr>
        <w:t xml:space="preserve"> la </w:t>
      </w:r>
      <w:proofErr w:type="spellStart"/>
      <w:r w:rsidRPr="002A5D47">
        <w:rPr>
          <w:rFonts w:ascii="Titillium Web" w:hAnsi="Titillium Web"/>
          <w:b/>
          <w:bCs/>
          <w:iCs/>
          <w:lang w:val="en-US"/>
        </w:rPr>
        <w:t>fornitura</w:t>
      </w:r>
      <w:proofErr w:type="spellEnd"/>
      <w:r w:rsidRPr="002A5D47">
        <w:rPr>
          <w:rFonts w:ascii="Titillium Web" w:hAnsi="Titillium Web"/>
          <w:b/>
          <w:bCs/>
          <w:iCs/>
          <w:lang w:val="en-US"/>
        </w:rPr>
        <w:t xml:space="preserve"> di un</w:t>
      </w:r>
      <w:r w:rsidR="00EA2D08" w:rsidRPr="002A5D47">
        <w:rPr>
          <w:rFonts w:ascii="Titillium Web" w:hAnsi="Titillium Web"/>
          <w:b/>
          <w:bCs/>
          <w:iCs/>
          <w:lang w:val="en-US"/>
        </w:rPr>
        <w:t xml:space="preserve"> </w:t>
      </w:r>
      <w:r w:rsidRPr="002A5D47">
        <w:rPr>
          <w:rFonts w:ascii="Titillium Web" w:hAnsi="Titillium Web"/>
          <w:b/>
          <w:bCs/>
          <w:iCs/>
          <w:lang w:val="en-US"/>
        </w:rPr>
        <w:t>”Automated mRNA Production System at scale suitable for drug discovery and preclinical development with Critical Reagent Supply and Processing System”.</w:t>
      </w:r>
    </w:p>
    <w:p w14:paraId="7BDFDE39" w14:textId="77777777" w:rsidR="009D607A" w:rsidRPr="002A5D47" w:rsidRDefault="009D607A" w:rsidP="00B2456D">
      <w:pPr>
        <w:tabs>
          <w:tab w:val="left" w:pos="8136"/>
        </w:tabs>
        <w:jc w:val="both"/>
        <w:rPr>
          <w:rFonts w:ascii="Titillium Web" w:hAnsi="Titillium Web" w:cs="Tahoma"/>
          <w:sz w:val="22"/>
          <w:szCs w:val="22"/>
          <w:lang w:val="en-US"/>
        </w:rPr>
      </w:pPr>
    </w:p>
    <w:p w14:paraId="50267EF8" w14:textId="613B5456" w:rsidR="000A405D" w:rsidRPr="001F0880" w:rsidRDefault="000A405D" w:rsidP="00B2456D">
      <w:pPr>
        <w:tabs>
          <w:tab w:val="left" w:pos="8136"/>
        </w:tabs>
        <w:jc w:val="both"/>
        <w:rPr>
          <w:rFonts w:ascii="Titillium Web" w:hAnsi="Titillium Web" w:cs="Tahoma"/>
          <w:b/>
          <w:bCs/>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“Concorrente”) a</w:t>
      </w:r>
      <w:r w:rsidR="00B2456D">
        <w:rPr>
          <w:rFonts w:ascii="Titillium Web" w:hAnsi="Titillium Web" w:cs="Tahoma"/>
          <w:sz w:val="22"/>
          <w:szCs w:val="22"/>
        </w:rPr>
        <w:t xml:space="preserve">lla procedura aperta ai sensi dell’art. 71 e 108 del D.L.gs n.36/2023, </w:t>
      </w:r>
      <w:r w:rsidRPr="000F429E">
        <w:rPr>
          <w:rFonts w:ascii="Titillium Web" w:hAnsi="Titillium Web" w:cs="Tahoma"/>
          <w:sz w:val="22"/>
          <w:szCs w:val="22"/>
        </w:rPr>
        <w:t xml:space="preserve">nell’ambito del </w:t>
      </w:r>
      <w:r w:rsidR="00660EDA" w:rsidRPr="000F429E">
        <w:rPr>
          <w:rFonts w:ascii="Titillium Web" w:hAnsi="Titillium Web" w:cs="Tahoma"/>
          <w:sz w:val="22"/>
          <w:szCs w:val="22"/>
        </w:rPr>
        <w:t>P</w:t>
      </w:r>
      <w:r w:rsidRPr="000F429E">
        <w:rPr>
          <w:rFonts w:ascii="Titillium Web" w:hAnsi="Titillium Web" w:cs="Tahoma"/>
          <w:sz w:val="22"/>
          <w:szCs w:val="22"/>
        </w:rPr>
        <w:t>rogetto</w:t>
      </w:r>
      <w:r w:rsidR="00B2456D" w:rsidRPr="00B2456D">
        <w:rPr>
          <w:rFonts w:ascii="Titillium Web" w:hAnsi="Titillium Web" w:cs="Tahoma"/>
          <w:b/>
          <w:sz w:val="22"/>
          <w:szCs w:val="22"/>
        </w:rPr>
        <w:t>:</w:t>
      </w:r>
      <w:r w:rsidR="00660EDA" w:rsidRPr="00B2456D">
        <w:rPr>
          <w:rFonts w:ascii="Titillium Web" w:hAnsi="Titillium Web" w:cs="Tahoma"/>
          <w:b/>
          <w:sz w:val="22"/>
          <w:szCs w:val="22"/>
        </w:rPr>
        <w:t xml:space="preserve"> </w:t>
      </w:r>
      <w:r w:rsidR="00B2456D" w:rsidRPr="00B2456D">
        <w:rPr>
          <w:rFonts w:ascii="Titillium Web" w:hAnsi="Titillium Web" w:cs="Tahoma"/>
          <w:bCs/>
          <w:sz w:val="22"/>
          <w:szCs w:val="22"/>
        </w:rPr>
        <w:t>PNRR Missione 4, Componente 2, Investimento 1.4 “</w:t>
      </w:r>
      <w:r w:rsidR="00B2456D" w:rsidRPr="00B66859">
        <w:rPr>
          <w:rFonts w:ascii="Titillium Web" w:hAnsi="Titillium Web" w:cs="Tahoma"/>
          <w:bCs/>
          <w:i/>
          <w:iCs/>
          <w:sz w:val="22"/>
          <w:szCs w:val="22"/>
        </w:rPr>
        <w:t xml:space="preserve">Potenziamento strutture di ricerca e creazione di "campioni nazionali di R&amp;S" su alcune Key </w:t>
      </w:r>
      <w:proofErr w:type="spellStart"/>
      <w:r w:rsidR="00B2456D" w:rsidRPr="00B66859">
        <w:rPr>
          <w:rFonts w:ascii="Titillium Web" w:hAnsi="Titillium Web" w:cs="Tahoma"/>
          <w:bCs/>
          <w:i/>
          <w:iCs/>
          <w:sz w:val="22"/>
          <w:szCs w:val="22"/>
        </w:rPr>
        <w:t>Enabling</w:t>
      </w:r>
      <w:proofErr w:type="spellEnd"/>
      <w:r w:rsidR="00B2456D" w:rsidRPr="00B66859">
        <w:rPr>
          <w:rFonts w:ascii="Titillium Web" w:hAnsi="Titillium Web" w:cs="Tahoma"/>
          <w:bCs/>
          <w:i/>
          <w:iCs/>
          <w:sz w:val="22"/>
          <w:szCs w:val="22"/>
        </w:rPr>
        <w:t xml:space="preserve"> Technologies</w:t>
      </w:r>
      <w:r w:rsidR="00B2456D" w:rsidRPr="00B2456D">
        <w:rPr>
          <w:rFonts w:ascii="Titillium Web" w:hAnsi="Titillium Web" w:cs="Tahoma"/>
          <w:bCs/>
          <w:sz w:val="22"/>
          <w:szCs w:val="22"/>
        </w:rPr>
        <w:t>”</w:t>
      </w:r>
      <w:r w:rsidR="00B66859">
        <w:rPr>
          <w:rFonts w:ascii="Titillium Web" w:hAnsi="Titillium Web" w:cs="Tahoma"/>
          <w:bCs/>
          <w:sz w:val="22"/>
          <w:szCs w:val="22"/>
        </w:rPr>
        <w:t xml:space="preserve"> </w:t>
      </w:r>
      <w:r w:rsidR="00B2456D" w:rsidRPr="00B2456D">
        <w:rPr>
          <w:rFonts w:ascii="Titillium Web" w:hAnsi="Titillium Web" w:cs="Tahoma"/>
          <w:bCs/>
          <w:sz w:val="22"/>
          <w:szCs w:val="22"/>
        </w:rPr>
        <w:t xml:space="preserve">Iniziativa finanziata dall’Unione europea - </w:t>
      </w:r>
      <w:proofErr w:type="spellStart"/>
      <w:r w:rsidR="00B2456D" w:rsidRPr="00B2456D">
        <w:rPr>
          <w:rFonts w:ascii="Titillium Web" w:hAnsi="Titillium Web" w:cs="Tahoma"/>
          <w:bCs/>
          <w:sz w:val="22"/>
          <w:szCs w:val="22"/>
        </w:rPr>
        <w:t>NextGenerationEU</w:t>
      </w:r>
      <w:proofErr w:type="spellEnd"/>
      <w:r w:rsidR="00B2456D" w:rsidRPr="00B2456D">
        <w:rPr>
          <w:rFonts w:ascii="Titillium Web" w:hAnsi="Titillium Web" w:cs="Tahoma"/>
          <w:bCs/>
          <w:sz w:val="22"/>
          <w:szCs w:val="22"/>
        </w:rPr>
        <w:t xml:space="preserve">. </w:t>
      </w:r>
      <w:r w:rsidR="00B2456D" w:rsidRPr="0065084D">
        <w:rPr>
          <w:rFonts w:ascii="Titillium Web" w:hAnsi="Titillium Web" w:cs="Tahoma"/>
          <w:bCs/>
          <w:sz w:val="22"/>
          <w:szCs w:val="22"/>
        </w:rPr>
        <w:t xml:space="preserve">National Center for Gene Therapy and </w:t>
      </w:r>
      <w:proofErr w:type="spellStart"/>
      <w:r w:rsidR="00B2456D" w:rsidRPr="0065084D">
        <w:rPr>
          <w:rFonts w:ascii="Titillium Web" w:hAnsi="Titillium Web" w:cs="Tahoma"/>
          <w:bCs/>
          <w:sz w:val="22"/>
          <w:szCs w:val="22"/>
        </w:rPr>
        <w:t>Drugs</w:t>
      </w:r>
      <w:proofErr w:type="spellEnd"/>
      <w:r w:rsidR="00B2456D" w:rsidRPr="0065084D">
        <w:rPr>
          <w:rFonts w:ascii="Titillium Web" w:hAnsi="Titillium Web" w:cs="Tahoma"/>
          <w:bCs/>
          <w:sz w:val="22"/>
          <w:szCs w:val="22"/>
        </w:rPr>
        <w:t xml:space="preserve"> </w:t>
      </w:r>
      <w:proofErr w:type="spellStart"/>
      <w:r w:rsidR="00B2456D" w:rsidRPr="0065084D">
        <w:rPr>
          <w:rFonts w:ascii="Titillium Web" w:hAnsi="Titillium Web" w:cs="Tahoma"/>
          <w:bCs/>
          <w:sz w:val="22"/>
          <w:szCs w:val="22"/>
        </w:rPr>
        <w:t>based</w:t>
      </w:r>
      <w:proofErr w:type="spellEnd"/>
      <w:r w:rsidR="00B2456D" w:rsidRPr="0065084D">
        <w:rPr>
          <w:rFonts w:ascii="Titillium Web" w:hAnsi="Titillium Web" w:cs="Tahoma"/>
          <w:bCs/>
          <w:sz w:val="22"/>
          <w:szCs w:val="22"/>
        </w:rPr>
        <w:t xml:space="preserve"> on RNA Technology</w:t>
      </w:r>
      <w:r w:rsidR="00B2456D" w:rsidRPr="00B2456D">
        <w:rPr>
          <w:rFonts w:ascii="Titillium Web" w:hAnsi="Titillium Web" w:cs="Tahoma"/>
          <w:bCs/>
          <w:sz w:val="22"/>
          <w:szCs w:val="22"/>
        </w:rPr>
        <w:t xml:space="preserve"> Sviluppo di terapia genica e farmaci con tecnologia a RNA Codice progetto MUR: CN00000041</w:t>
      </w:r>
      <w:r w:rsidR="00B2456D" w:rsidRPr="00B2456D">
        <w:rPr>
          <w:rFonts w:ascii="Titillium Web" w:hAnsi="Titillium Web" w:cs="Tahoma"/>
          <w:b/>
          <w:bCs/>
          <w:sz w:val="22"/>
          <w:szCs w:val="22"/>
        </w:rPr>
        <w:t xml:space="preserve"> </w:t>
      </w:r>
      <w:r w:rsidRPr="000F429E">
        <w:rPr>
          <w:rFonts w:ascii="Titillium Web" w:hAnsi="Titillium Web" w:cs="Tahoma"/>
          <w:sz w:val="22"/>
          <w:szCs w:val="22"/>
        </w:rPr>
        <w:t xml:space="preserve">– </w:t>
      </w:r>
      <w:r w:rsidRPr="001F0880">
        <w:rPr>
          <w:rFonts w:ascii="Titillium Web" w:hAnsi="Titillium Web" w:cs="Tahoma"/>
          <w:sz w:val="22"/>
          <w:szCs w:val="22"/>
        </w:rPr>
        <w:t xml:space="preserve">CUP </w:t>
      </w:r>
      <w:r w:rsidR="00B2456D" w:rsidRPr="001F0880">
        <w:rPr>
          <w:rFonts w:ascii="Titillium Web" w:hAnsi="Titillium Web" w:cs="Calibri"/>
          <w:bCs/>
          <w:sz w:val="22"/>
          <w:szCs w:val="22"/>
        </w:rPr>
        <w:t>E63C22000940007</w:t>
      </w:r>
      <w:r w:rsidRPr="001F0880">
        <w:rPr>
          <w:rFonts w:ascii="Titillium Web" w:hAnsi="Titillium Web" w:cs="Calibri"/>
          <w:bCs/>
          <w:sz w:val="22"/>
          <w:szCs w:val="22"/>
        </w:rPr>
        <w:t xml:space="preserve"> </w:t>
      </w:r>
    </w:p>
    <w:p w14:paraId="24FFF619" w14:textId="77777777" w:rsidR="000262B2" w:rsidRPr="001F0880" w:rsidRDefault="00B250E1" w:rsidP="00B250E1">
      <w:pPr>
        <w:tabs>
          <w:tab w:val="left" w:pos="8136"/>
        </w:tabs>
        <w:jc w:val="both"/>
        <w:rPr>
          <w:rFonts w:ascii="Titillium Web" w:hAnsi="Titillium Web" w:cs="Tahoma"/>
          <w:sz w:val="22"/>
          <w:szCs w:val="22"/>
        </w:rPr>
      </w:pPr>
      <w:r w:rsidRPr="001F0880">
        <w:rPr>
          <w:rFonts w:ascii="Titillium Web" w:hAnsi="Titillium Web" w:cs="Tahoma"/>
          <w:sz w:val="22"/>
          <w:szCs w:val="22"/>
        </w:rPr>
        <w:t xml:space="preserve">considerato che: </w:t>
      </w:r>
    </w:p>
    <w:p w14:paraId="48E9E33B" w14:textId="24C34F95" w:rsidR="00803151"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w:t>
      </w:r>
      <w:r w:rsidR="001832AF" w:rsidRPr="001F0880">
        <w:rPr>
          <w:rFonts w:ascii="Titillium Web" w:hAnsi="Titillium Web" w:cs="Tahoma"/>
          <w:bCs/>
          <w:sz w:val="22"/>
          <w:szCs w:val="22"/>
        </w:rPr>
        <w:t xml:space="preserve"> l’avviso pubblico n. 3138 del 16 dicembre 2021 del MUR, parzialmente modificato dal Decreto Direttoriale n. 3175 del 18 dicembre 2021, relativo alla presentazione di Proposte di intervento per il Potenziamento di strutture di ricerca e creazione di “campioni nazionali” di R&amp;S su alcune Key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da finanziare nell’ambito del PNRR Missione 4, “Istruzione e ricerca” – Componente 2, “Dalla ricerca all’impresa” – Linea di investimento 1.4 “Potenziamento strutture di ricerca e creazione di ‘campioni nazionali di R&amp;S’ su alcune Key </w:t>
      </w:r>
      <w:proofErr w:type="spellStart"/>
      <w:r w:rsidR="001832AF" w:rsidRPr="001F0880">
        <w:rPr>
          <w:rFonts w:ascii="Titillium Web" w:hAnsi="Titillium Web" w:cs="Tahoma"/>
          <w:bCs/>
          <w:sz w:val="22"/>
          <w:szCs w:val="22"/>
        </w:rPr>
        <w:t>Enabling</w:t>
      </w:r>
      <w:proofErr w:type="spellEnd"/>
      <w:r w:rsidR="001832AF" w:rsidRPr="001F0880">
        <w:rPr>
          <w:rFonts w:ascii="Titillium Web" w:hAnsi="Titillium Web" w:cs="Tahoma"/>
          <w:bCs/>
          <w:sz w:val="22"/>
          <w:szCs w:val="22"/>
        </w:rPr>
        <w:t xml:space="preserve"> Technologies”, finanziato dall’Unione europea – </w:t>
      </w:r>
      <w:proofErr w:type="spellStart"/>
      <w:r w:rsidR="001832AF" w:rsidRPr="001F0880">
        <w:rPr>
          <w:rFonts w:ascii="Titillium Web" w:hAnsi="Titillium Web" w:cs="Tahoma"/>
          <w:bCs/>
          <w:sz w:val="22"/>
          <w:szCs w:val="22"/>
        </w:rPr>
        <w:t>NextGenerationEU</w:t>
      </w:r>
      <w:proofErr w:type="spellEnd"/>
      <w:r w:rsidR="001832AF" w:rsidRPr="001F0880">
        <w:rPr>
          <w:rFonts w:ascii="Titillium Web" w:hAnsi="Titillium Web" w:cs="Tahoma"/>
          <w:bCs/>
          <w:sz w:val="22"/>
          <w:szCs w:val="22"/>
        </w:rPr>
        <w:t>;</w:t>
      </w:r>
    </w:p>
    <w:p w14:paraId="095121EA" w14:textId="0EB746C1" w:rsidR="001832AF" w:rsidRPr="001F0880"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t xml:space="preserve">- in risposta al predetto Avviso pubblico, </w:t>
      </w:r>
      <w:r w:rsidR="001832AF" w:rsidRPr="001F0880">
        <w:rPr>
          <w:rFonts w:ascii="Titillium Web" w:hAnsi="Titillium Web" w:cs="Tahoma"/>
          <w:bCs/>
          <w:sz w:val="22"/>
          <w:szCs w:val="22"/>
        </w:rPr>
        <w:t xml:space="preserve">il progetto presentato dall’Ateneo, sottomesso al MUR e ratificato dal Consiglio di Amministrazione con delibera n. 170 del 4 aprile 2022, con cui è stata proposta la costituzione di una Fondazione - quale soggetto attuatore (HUB) del Programma di Ricerca - tra Università </w:t>
      </w:r>
    </w:p>
    <w:p w14:paraId="5A32B0DD" w14:textId="48D40859" w:rsidR="00803151" w:rsidRPr="001F0880" w:rsidRDefault="001832AF"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bCs/>
          <w:sz w:val="22"/>
          <w:szCs w:val="22"/>
        </w:rPr>
        <w:t xml:space="preserve">statali ed Enti pubblici di Ricerca vigilati dal MUR e con il coinvolgimento di Università non statali, altri Enti Pubblici di Ricerca e di altri soggetti pubblici o privati, altamente qualificati nella tematica di ricerca oggetto del CN, prevedendo un costo totale del progetto pari a € 400.000.000,00 e denominato National Center </w:t>
      </w:r>
      <w:r w:rsidRPr="001F0880">
        <w:rPr>
          <w:rFonts w:ascii="Titillium Web" w:hAnsi="Titillium Web" w:cs="Tahoma"/>
          <w:bCs/>
          <w:sz w:val="22"/>
          <w:szCs w:val="22"/>
        </w:rPr>
        <w:lastRenderedPageBreak/>
        <w:t xml:space="preserve">for Gene Therapy and </w:t>
      </w:r>
      <w:proofErr w:type="spellStart"/>
      <w:r w:rsidRPr="001F0880">
        <w:rPr>
          <w:rFonts w:ascii="Titillium Web" w:hAnsi="Titillium Web" w:cs="Tahoma"/>
          <w:bCs/>
          <w:sz w:val="22"/>
          <w:szCs w:val="22"/>
        </w:rPr>
        <w:t>Drugs</w:t>
      </w:r>
      <w:proofErr w:type="spellEnd"/>
      <w:r w:rsidRPr="001F0880">
        <w:rPr>
          <w:rFonts w:ascii="Titillium Web" w:hAnsi="Titillium Web" w:cs="Tahoma"/>
          <w:bCs/>
          <w:sz w:val="22"/>
          <w:szCs w:val="22"/>
        </w:rPr>
        <w:t xml:space="preserve"> </w:t>
      </w:r>
      <w:proofErr w:type="spellStart"/>
      <w:r w:rsidRPr="001F0880">
        <w:rPr>
          <w:rFonts w:ascii="Titillium Web" w:hAnsi="Titillium Web" w:cs="Tahoma"/>
          <w:bCs/>
          <w:sz w:val="22"/>
          <w:szCs w:val="22"/>
        </w:rPr>
        <w:t>based</w:t>
      </w:r>
      <w:proofErr w:type="spellEnd"/>
      <w:r w:rsidRPr="001F0880">
        <w:rPr>
          <w:rFonts w:ascii="Titillium Web" w:hAnsi="Titillium Web" w:cs="Tahoma"/>
          <w:bCs/>
          <w:sz w:val="22"/>
          <w:szCs w:val="22"/>
        </w:rPr>
        <w:t xml:space="preserve"> on RNA Technology” – contrassegnato dal codice identificativo “CN00000041”</w:t>
      </w:r>
      <w:r w:rsidR="00803151" w:rsidRPr="001F0880">
        <w:rPr>
          <w:rFonts w:ascii="Titillium Web" w:hAnsi="Titillium Web" w:cs="Tahoma"/>
          <w:bCs/>
          <w:sz w:val="22"/>
          <w:szCs w:val="22"/>
        </w:rPr>
        <w:t>;</w:t>
      </w:r>
    </w:p>
    <w:p w14:paraId="64028D04" w14:textId="282221D2" w:rsidR="001832AF" w:rsidRPr="001F0880" w:rsidRDefault="001832AF"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 xml:space="preserve">-con il Decreto Direttoriale n. </w:t>
      </w:r>
      <w:r w:rsidR="00C36E7E" w:rsidRPr="001F0880">
        <w:rPr>
          <w:rFonts w:ascii="Titillium Web" w:hAnsi="Titillium Web" w:cs="Tahoma"/>
          <w:bCs/>
          <w:sz w:val="22"/>
          <w:szCs w:val="22"/>
        </w:rPr>
        <w:t xml:space="preserve">1035 del 17 luglio 2022, con cui </w:t>
      </w:r>
      <w:r w:rsidRPr="001F0880">
        <w:rPr>
          <w:rFonts w:ascii="Titillium Web" w:hAnsi="Titillium Web" w:cs="Tahoma"/>
          <w:bCs/>
          <w:sz w:val="22"/>
          <w:szCs w:val="22"/>
        </w:rPr>
        <w:t xml:space="preserve">il MUR ha deliberato l’approvazione del progetto definitivo e il piano dei costi e delle agevolazioni, stabilendo per il progetto definitivo </w:t>
      </w:r>
      <w:proofErr w:type="spellStart"/>
      <w:r w:rsidRPr="001F0880">
        <w:rPr>
          <w:rFonts w:ascii="Titillium Web" w:hAnsi="Titillium Web" w:cs="Tahoma"/>
          <w:bCs/>
          <w:sz w:val="22"/>
          <w:szCs w:val="22"/>
        </w:rPr>
        <w:t>uncontributo</w:t>
      </w:r>
      <w:proofErr w:type="spellEnd"/>
      <w:r w:rsidRPr="001F0880">
        <w:rPr>
          <w:rFonts w:ascii="Titillium Web" w:hAnsi="Titillium Web" w:cs="Tahoma"/>
          <w:bCs/>
          <w:sz w:val="22"/>
          <w:szCs w:val="22"/>
        </w:rPr>
        <w:t xml:space="preserve"> complessivo pari a euro 328.814.550,46 con un contributo alla spesa pari a euro 320.036.606,03;</w:t>
      </w:r>
    </w:p>
    <w:p w14:paraId="08A9CED3" w14:textId="0D3E7A4E" w:rsidR="001832AF" w:rsidRPr="001F0880" w:rsidRDefault="00C36E7E" w:rsidP="008F1351">
      <w:pPr>
        <w:tabs>
          <w:tab w:val="right" w:pos="9072"/>
        </w:tabs>
        <w:ind w:right="284"/>
        <w:jc w:val="both"/>
        <w:rPr>
          <w:rFonts w:ascii="Titillium Web" w:hAnsi="Titillium Web" w:cs="Tahoma"/>
          <w:bCs/>
          <w:sz w:val="22"/>
          <w:szCs w:val="22"/>
        </w:rPr>
      </w:pPr>
      <w:r w:rsidRPr="001F0880">
        <w:rPr>
          <w:rFonts w:ascii="Titillium Web" w:hAnsi="Titillium Web" w:cs="Tahoma"/>
          <w:bCs/>
          <w:sz w:val="22"/>
          <w:szCs w:val="22"/>
        </w:rPr>
        <w:t>-</w:t>
      </w:r>
      <w:r w:rsidRPr="001F0880">
        <w:rPr>
          <w:rFonts w:ascii="Titillium Web" w:hAnsi="Titillium Web" w:cs="Calibri"/>
          <w:bCs/>
          <w:sz w:val="20"/>
          <w:szCs w:val="20"/>
          <w:lang w:eastAsia="en-US"/>
        </w:rPr>
        <w:t xml:space="preserve"> </w:t>
      </w:r>
      <w:r w:rsidRPr="001F0880">
        <w:rPr>
          <w:rFonts w:ascii="Titillium Web" w:hAnsi="Titillium Web" w:cs="Tahoma"/>
          <w:bCs/>
          <w:sz w:val="22"/>
          <w:szCs w:val="22"/>
        </w:rPr>
        <w:t>il progetto “</w:t>
      </w:r>
      <w:r w:rsidRPr="001F0880">
        <w:rPr>
          <w:rFonts w:ascii="Titillium Web" w:hAnsi="Titillium Web" w:cs="Tahoma"/>
          <w:bCs/>
          <w:i/>
          <w:iCs/>
          <w:sz w:val="22"/>
          <w:szCs w:val="22"/>
        </w:rPr>
        <w:t xml:space="preserve">National Center for Gene Therapy and </w:t>
      </w:r>
      <w:proofErr w:type="spellStart"/>
      <w:r w:rsidRPr="001F0880">
        <w:rPr>
          <w:rFonts w:ascii="Titillium Web" w:hAnsi="Titillium Web" w:cs="Tahoma"/>
          <w:bCs/>
          <w:i/>
          <w:iCs/>
          <w:sz w:val="22"/>
          <w:szCs w:val="22"/>
        </w:rPr>
        <w:t>Drugs</w:t>
      </w:r>
      <w:proofErr w:type="spellEnd"/>
      <w:r w:rsidRPr="001F0880">
        <w:rPr>
          <w:rFonts w:ascii="Titillium Web" w:hAnsi="Titillium Web" w:cs="Tahoma"/>
          <w:bCs/>
          <w:i/>
          <w:iCs/>
          <w:sz w:val="22"/>
          <w:szCs w:val="22"/>
        </w:rPr>
        <w:t xml:space="preserve"> </w:t>
      </w:r>
      <w:proofErr w:type="spellStart"/>
      <w:r w:rsidRPr="001F0880">
        <w:rPr>
          <w:rFonts w:ascii="Titillium Web" w:hAnsi="Titillium Web" w:cs="Tahoma"/>
          <w:bCs/>
          <w:i/>
          <w:iCs/>
          <w:sz w:val="22"/>
          <w:szCs w:val="22"/>
        </w:rPr>
        <w:t>based</w:t>
      </w:r>
      <w:proofErr w:type="spellEnd"/>
      <w:r w:rsidRPr="001F0880">
        <w:rPr>
          <w:rFonts w:ascii="Titillium Web" w:hAnsi="Titillium Web" w:cs="Tahoma"/>
          <w:bCs/>
          <w:i/>
          <w:iCs/>
          <w:sz w:val="22"/>
          <w:szCs w:val="22"/>
        </w:rPr>
        <w:t xml:space="preserve"> on RNA Technology</w:t>
      </w:r>
      <w:r w:rsidRPr="001F0880">
        <w:rPr>
          <w:rFonts w:ascii="Titillium Web" w:hAnsi="Titillium Web" w:cs="Tahoma"/>
          <w:bCs/>
          <w:sz w:val="22"/>
          <w:szCs w:val="22"/>
        </w:rPr>
        <w:t>” che ha avuto inizio il 1° settembre 2022 con termine finale in data 31 agosto 2025, con possibilità di proroga al 28 febbraio 2026, prevede per l’Università degli Studi di Napoli Federico II un costo pari a euro 27.974.916,65, completamente coperto dal contributo alla spesa pari a euro 320.036.606,03;</w:t>
      </w:r>
    </w:p>
    <w:p w14:paraId="580BBC03" w14:textId="518A9EF4" w:rsidR="00B46E16" w:rsidRPr="00B46E16" w:rsidRDefault="00803151" w:rsidP="00B46E1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Titillium Web" w:hAnsi="Titillium Web" w:cs="Tahoma"/>
          <w:bCs/>
          <w:sz w:val="22"/>
          <w:szCs w:val="22"/>
        </w:rPr>
      </w:pPr>
      <w:r w:rsidRPr="001F0880">
        <w:rPr>
          <w:rFonts w:ascii="Titillium Web" w:hAnsi="Titillium Web" w:cs="Tahoma"/>
          <w:sz w:val="22"/>
          <w:szCs w:val="22"/>
        </w:rPr>
        <w:t xml:space="preserve">- </w:t>
      </w:r>
      <w:r w:rsidR="00B46E16" w:rsidRPr="002A5D47">
        <w:rPr>
          <w:rFonts w:ascii="Titillium Web" w:hAnsi="Titillium Web" w:cs="Tahoma"/>
          <w:bCs/>
          <w:sz w:val="22"/>
          <w:szCs w:val="22"/>
        </w:rPr>
        <w:t xml:space="preserve">Il Dipartimento di Farmacia dell'Università degli Studi di Napoli Federico II, nell'ambito dell'attività di ricerca scientifica del CN00000041, Centro Nazionale per la Terapia Genica e i Farmaci basati sulla Tecnologia dell'RNA Sviluppo della terapia genica e dei farmaci con tecnologia dell'RNA, con una specifica Milestone dedicata alla creazione di un impianto per la produzione RNA </w:t>
      </w:r>
      <w:r w:rsidR="007636F6" w:rsidRPr="002A5D47">
        <w:rPr>
          <w:rFonts w:ascii="Titillium Web" w:hAnsi="Titillium Web" w:cs="Tahoma"/>
          <w:bCs/>
          <w:sz w:val="22"/>
          <w:szCs w:val="22"/>
        </w:rPr>
        <w:t>terapeutici</w:t>
      </w:r>
      <w:r w:rsidR="00B46E16" w:rsidRPr="002A5D47">
        <w:rPr>
          <w:rFonts w:ascii="Titillium Web" w:hAnsi="Titillium Web" w:cs="Tahoma"/>
          <w:bCs/>
          <w:sz w:val="22"/>
          <w:szCs w:val="22"/>
        </w:rPr>
        <w:t xml:space="preserve">, intende acquistare </w:t>
      </w:r>
      <w:r w:rsidR="007636F6" w:rsidRPr="002A5D47">
        <w:rPr>
          <w:rFonts w:ascii="Titillium Web" w:hAnsi="Titillium Web" w:cs="Tahoma"/>
          <w:bCs/>
          <w:sz w:val="22"/>
          <w:szCs w:val="22"/>
        </w:rPr>
        <w:t xml:space="preserve">un sistema automatizzato </w:t>
      </w:r>
      <w:r w:rsidR="00B46E16" w:rsidRPr="002A5D47">
        <w:rPr>
          <w:rFonts w:ascii="Titillium Web" w:hAnsi="Titillium Web" w:cs="Tahoma"/>
          <w:bCs/>
          <w:sz w:val="22"/>
          <w:szCs w:val="22"/>
        </w:rPr>
        <w:t xml:space="preserve">per la produzione di mRNA con fornitura critica di reagenti e sistema di elaborazione. A questo scopo </w:t>
      </w:r>
      <w:r w:rsidR="007636F6" w:rsidRPr="002A5D47">
        <w:rPr>
          <w:rFonts w:ascii="Titillium Web" w:hAnsi="Titillium Web" w:cs="Tahoma"/>
          <w:bCs/>
          <w:sz w:val="22"/>
          <w:szCs w:val="22"/>
        </w:rPr>
        <w:t xml:space="preserve">è indispensabile </w:t>
      </w:r>
      <w:r w:rsidR="00B46E16" w:rsidRPr="002A5D47">
        <w:rPr>
          <w:rFonts w:ascii="Titillium Web" w:hAnsi="Titillium Web" w:cs="Tahoma"/>
          <w:bCs/>
          <w:sz w:val="22"/>
          <w:szCs w:val="22"/>
        </w:rPr>
        <w:t>una strumentazione ad alte prestazioni in grado di sintetizzare automaticamente mRNA su scala adatta alla scoperta di farmaci e allo sviluppo preclinico. Le fasi di produzione dell'mRNA che devono essere eseguite automaticamente e con elevata ripetibilità sono la trascrizione da uno stampo di DNA, la purificazione e l'elaborazione della molecola di mRNA sintetizzata per rimuovere eventuali contaminanti e specie indesiderate. I prodotti finali devono soddisfare un'elevata resa di processo ed un elevato profilo qualitativo</w:t>
      </w:r>
      <w:r w:rsidR="007636F6">
        <w:rPr>
          <w:rFonts w:ascii="Titillium Web" w:hAnsi="Titillium Web" w:cs="Tahoma"/>
          <w:bCs/>
          <w:sz w:val="22"/>
          <w:szCs w:val="22"/>
        </w:rPr>
        <w:t>.</w:t>
      </w:r>
    </w:p>
    <w:p w14:paraId="688D3655" w14:textId="77777777" w:rsidR="009D607A" w:rsidRDefault="009D607A" w:rsidP="000262B2">
      <w:pPr>
        <w:tabs>
          <w:tab w:val="left" w:pos="8136"/>
        </w:tabs>
        <w:jc w:val="center"/>
        <w:rPr>
          <w:rFonts w:ascii="Titillium Web" w:hAnsi="Titillium Web" w:cs="Tahoma"/>
          <w:sz w:val="22"/>
          <w:szCs w:val="22"/>
        </w:rPr>
      </w:pPr>
    </w:p>
    <w:p w14:paraId="5F60AB8A" w14:textId="6318A873"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w:t>
      </w:r>
      <w:proofErr w:type="spellStart"/>
      <w:r w:rsidRPr="000F429E">
        <w:rPr>
          <w:rFonts w:ascii="Titillium Web" w:hAnsi="Titillium Web" w:cs="Tahoma"/>
          <w:sz w:val="22"/>
          <w:szCs w:val="22"/>
        </w:rPr>
        <w:t>s.m.i.</w:t>
      </w:r>
      <w:proofErr w:type="spellEnd"/>
      <w:r w:rsidRPr="000F429E">
        <w:rPr>
          <w:rFonts w:ascii="Titillium Web" w:hAnsi="Titillium Web" w:cs="Tahoma"/>
          <w:sz w:val="22"/>
          <w:szCs w:val="22"/>
        </w:rPr>
        <w:t xml:space="preserve">, consapevole delle sanzioni penali di cui all’art. 76 del medesimo decreto: </w:t>
      </w:r>
    </w:p>
    <w:p w14:paraId="3F94FC9B" w14:textId="6D9D637B"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B6078C">
        <w:rPr>
          <w:rFonts w:ascii="Titillium Web" w:hAnsi="Titillium Web" w:cs="Tahoma"/>
          <w:sz w:val="22"/>
          <w:szCs w:val="22"/>
        </w:rPr>
        <w:t>acclusa alla presente procedura di gara</w:t>
      </w:r>
      <w:r w:rsidRPr="000F429E">
        <w:rPr>
          <w:rFonts w:ascii="Titillium Web" w:hAnsi="Titillium Web" w:cs="Tahoma"/>
          <w:sz w:val="22"/>
          <w:szCs w:val="22"/>
        </w:rPr>
        <w:t xml:space="preserve">, </w:t>
      </w:r>
      <w:r w:rsidR="00B6078C">
        <w:rPr>
          <w:rFonts w:ascii="Titillium Web" w:hAnsi="Titillium Web" w:cs="Tahoma"/>
          <w:sz w:val="22"/>
          <w:szCs w:val="22"/>
        </w:rPr>
        <w:t xml:space="preserve">e </w:t>
      </w:r>
      <w:r w:rsidRPr="000F429E">
        <w:rPr>
          <w:rFonts w:ascii="Titillium Web" w:hAnsi="Titillium Web" w:cs="Tahoma"/>
          <w:sz w:val="22"/>
          <w:szCs w:val="22"/>
        </w:rPr>
        <w:t xml:space="preserve">di accettarne </w:t>
      </w:r>
      <w:r w:rsidR="00186455" w:rsidRPr="000F429E">
        <w:rPr>
          <w:rFonts w:ascii="Titillium Web" w:hAnsi="Titillium Web" w:cs="Tahoma"/>
          <w:sz w:val="22"/>
          <w:szCs w:val="22"/>
        </w:rPr>
        <w:t xml:space="preserve">e di rispettarne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41C974A8" w14:textId="4078489C" w:rsidR="009D607A"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(laddove occupi un numero pari o superiore a cinquanta dipendenti</w:t>
      </w:r>
      <w:r w:rsidR="002A0854" w:rsidRPr="000F429E">
        <w:rPr>
          <w:rFonts w:ascii="Titillium Web" w:hAnsi="Titillium Web" w:cs="Tahoma"/>
          <w:sz w:val="22"/>
          <w:szCs w:val="22"/>
        </w:rPr>
        <w:t xml:space="preserve"> e </w:t>
      </w:r>
      <w:r w:rsidR="00CF38E2" w:rsidRPr="000F429E">
        <w:rPr>
          <w:rFonts w:ascii="Titillium Web" w:hAnsi="Titillium Web" w:cs="Tahoma"/>
          <w:sz w:val="22"/>
          <w:szCs w:val="22"/>
        </w:rPr>
        <w:t xml:space="preserve">sia </w:t>
      </w:r>
      <w:r w:rsidR="002A0854" w:rsidRPr="000F429E">
        <w:rPr>
          <w:rFonts w:ascii="Titillium Web" w:hAnsi="Titillium Web" w:cs="Tahoma"/>
          <w:sz w:val="22"/>
          <w:szCs w:val="22"/>
        </w:rPr>
        <w:t>tenuto</w:t>
      </w:r>
      <w:r w:rsidRPr="000F429E">
        <w:rPr>
          <w:rFonts w:ascii="Titillium Web" w:hAnsi="Titillium Web" w:cs="Tahoma"/>
          <w:sz w:val="22"/>
          <w:szCs w:val="22"/>
        </w:rPr>
        <w:t xml:space="preserve"> a redigere</w:t>
      </w:r>
      <w:r w:rsidR="002A0854" w:rsidRPr="000F429E">
        <w:rPr>
          <w:rFonts w:ascii="Titillium Web" w:hAnsi="Titillium Web" w:cs="Tahoma"/>
          <w:sz w:val="22"/>
          <w:szCs w:val="22"/>
        </w:rPr>
        <w:t xml:space="preserve"> </w:t>
      </w:r>
      <w:r w:rsidRPr="000F429E">
        <w:rPr>
          <w:rFonts w:ascii="Titillium Web" w:hAnsi="Titillium Web" w:cs="Tahoma"/>
          <w:sz w:val="22"/>
          <w:szCs w:val="22"/>
        </w:rPr>
        <w:t>il rapporto sulla situazione del personale ai sensi dell’art. 46 del decreto legislativo 11 aprile 2006</w:t>
      </w:r>
      <w:r w:rsidR="002A0854" w:rsidRPr="000F429E">
        <w:rPr>
          <w:rFonts w:ascii="Titillium Web" w:hAnsi="Titillium Web" w:cs="Tahoma"/>
          <w:sz w:val="22"/>
          <w:szCs w:val="22"/>
        </w:rPr>
        <w:t xml:space="preserve">, n. 198), a produrre, a pena di esclusione, copia dell’ultimo rapporto redatto, con attestazione della sua conformità a quello eventualmente trasmesso alle rappresentanze sindacali aziendali e alla consigliera e al consigliere </w:t>
      </w:r>
    </w:p>
    <w:p w14:paraId="7008B462" w14:textId="35C42B9A" w:rsidR="002A1A37" w:rsidRPr="000F429E" w:rsidRDefault="002A085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regionale di parità, ovvero, in caso di inosservanza dei termini previsti dal comma 1 del medesimo art. 46, con attestazione della sua contestuale trasmissione alle rappresentanze sindacali aziendali e alla consigliera e al consigliere regionale di parità; </w:t>
      </w:r>
    </w:p>
    <w:p w14:paraId="621DF070" w14:textId="77777777" w:rsidR="000F3B73"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0F429E">
        <w:rPr>
          <w:rFonts w:ascii="Titillium Web" w:hAnsi="Titillium Web" w:cs="Tahoma"/>
          <w:iCs/>
          <w:sz w:val="22"/>
          <w:szCs w:val="22"/>
        </w:rPr>
        <w:t xml:space="preserve">dalla conclusione del contratto, una relazione di genere sulla situazione del personale maschile e femminile in ognuna delle </w:t>
      </w:r>
      <w:r w:rsidR="00186455" w:rsidRPr="000F429E">
        <w:rPr>
          <w:rFonts w:ascii="Titillium Web" w:hAnsi="Titillium Web" w:cs="Tahoma"/>
          <w:iCs/>
          <w:sz w:val="22"/>
          <w:szCs w:val="22"/>
        </w:rPr>
        <w:lastRenderedPageBreak/>
        <w:t xml:space="preserve">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w:t>
      </w:r>
    </w:p>
    <w:p w14:paraId="596477EE" w14:textId="319DDA9F" w:rsidR="008A1394" w:rsidRPr="000F429E" w:rsidRDefault="00186455"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0" w:name="_Hlk132361389"/>
      <w:r w:rsidR="002A1A37" w:rsidRPr="000F429E">
        <w:rPr>
          <w:rFonts w:ascii="Titillium Web" w:hAnsi="Titillium Web" w:cs="Tahoma"/>
          <w:iCs/>
          <w:sz w:val="22"/>
          <w:szCs w:val="22"/>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0"/>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4D5090AE" w:rsidR="00D7556E" w:rsidRPr="000F429E"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una quota pari al 30% delle assunzioni necessarie per l’esecuzione del contratto o per la realizzazione di attività ad esso connesse o strumentali all’occupazione giovanile (meno di 36 anni);</w:t>
      </w:r>
    </w:p>
    <w:p w14:paraId="593EC299" w14:textId="70DA1DEC" w:rsidR="00686D9F" w:rsidRPr="000F429E" w:rsidRDefault="00D7556E"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pari al </w:t>
      </w:r>
      <w:r w:rsidR="00B5666E" w:rsidRPr="000F429E">
        <w:rPr>
          <w:rFonts w:ascii="Titillium Web" w:hAnsi="Titillium Web" w:cs="Tahoma"/>
          <w:iCs/>
          <w:sz w:val="22"/>
          <w:szCs w:val="22"/>
        </w:rPr>
        <w:t>3</w:t>
      </w:r>
      <w:r w:rsidRPr="000F429E">
        <w:rPr>
          <w:rFonts w:ascii="Titillium Web" w:hAnsi="Titillium Web" w:cs="Tahoma"/>
          <w:iCs/>
          <w:sz w:val="22"/>
          <w:szCs w:val="22"/>
        </w:rPr>
        <w:t>0% delle assunzioni necessarie per l’esecuzione del contratto o per la realizzazione di attività ad esso connesse o strumentali all’occupazione femminile.</w:t>
      </w:r>
    </w:p>
    <w:p w14:paraId="282AF915" w14:textId="025C2511" w:rsidR="00135C2B" w:rsidRPr="002F38C8" w:rsidRDefault="00686D9F" w:rsidP="00135C2B">
      <w:pPr>
        <w:tabs>
          <w:tab w:val="left" w:pos="8136"/>
        </w:tabs>
        <w:jc w:val="both"/>
        <w:rPr>
          <w:rFonts w:ascii="Titillium Web" w:hAnsi="Titillium Web" w:cs="Tahoma"/>
          <w:iCs/>
          <w:sz w:val="22"/>
          <w:szCs w:val="22"/>
        </w:rPr>
      </w:pPr>
      <w:r w:rsidRPr="000F429E">
        <w:rPr>
          <w:rFonts w:ascii="Titillium Web" w:hAnsi="Titillium Web" w:cs="Tahoma"/>
          <w:iCs/>
          <w:sz w:val="22"/>
          <w:szCs w:val="22"/>
        </w:rPr>
        <w:t>6</w:t>
      </w:r>
      <w:r w:rsidR="002A1A37" w:rsidRPr="000F429E">
        <w:rPr>
          <w:rFonts w:ascii="Titillium Web" w:hAnsi="Titillium Web" w:cs="Tahoma"/>
          <w:iCs/>
          <w:sz w:val="22"/>
          <w:szCs w:val="22"/>
        </w:rPr>
        <w:t xml:space="preserve">. di impegnarsi ad osservare gli obblighi specifici del PNRR, tra cui il principio di non arrecare un danno significativo agli obiettivi ambientali cd. “Do No </w:t>
      </w:r>
      <w:proofErr w:type="spellStart"/>
      <w:r w:rsidR="002A1A37" w:rsidRPr="000F429E">
        <w:rPr>
          <w:rFonts w:ascii="Titillium Web" w:hAnsi="Titillium Web" w:cs="Tahoma"/>
          <w:iCs/>
          <w:sz w:val="22"/>
          <w:szCs w:val="22"/>
        </w:rPr>
        <w:t>Significant</w:t>
      </w:r>
      <w:proofErr w:type="spellEnd"/>
      <w:r w:rsidR="002A1A37" w:rsidRPr="000F429E">
        <w:rPr>
          <w:rFonts w:ascii="Titillium Web" w:hAnsi="Titillium Web" w:cs="Tahoma"/>
          <w:iCs/>
          <w:sz w:val="22"/>
          <w:szCs w:val="22"/>
        </w:rPr>
        <w:t xml:space="preserve"> </w:t>
      </w:r>
      <w:proofErr w:type="spellStart"/>
      <w:r w:rsidR="002A1A37" w:rsidRPr="000F429E">
        <w:rPr>
          <w:rFonts w:ascii="Titillium Web" w:hAnsi="Titillium Web" w:cs="Tahoma"/>
          <w:iCs/>
          <w:sz w:val="22"/>
          <w:szCs w:val="22"/>
        </w:rPr>
        <w:t>Harm</w:t>
      </w:r>
      <w:proofErr w:type="spellEnd"/>
      <w:r w:rsidR="002A1A37" w:rsidRPr="000F429E">
        <w:rPr>
          <w:rFonts w:ascii="Titillium Web" w:hAnsi="Titillium Web" w:cs="Tahoma"/>
          <w:iCs/>
          <w:sz w:val="22"/>
          <w:szCs w:val="22"/>
        </w:rPr>
        <w:t xml:space="preserve">”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w:t>
      </w:r>
      <w:r w:rsidRPr="00190B47">
        <w:rPr>
          <w:rFonts w:ascii="Titillium Web" w:hAnsi="Titillium Web" w:cs="Tahoma"/>
          <w:iCs/>
          <w:sz w:val="22"/>
          <w:szCs w:val="22"/>
        </w:rPr>
        <w:t xml:space="preserve">Circolare MEF del </w:t>
      </w:r>
      <w:r w:rsidR="0065084D" w:rsidRPr="00190B47">
        <w:rPr>
          <w:rFonts w:ascii="Titillium Web" w:hAnsi="Titillium Web" w:cs="Tahoma"/>
          <w:iCs/>
          <w:sz w:val="22"/>
          <w:szCs w:val="22"/>
        </w:rPr>
        <w:t>14 maggio 2024, n. 22</w:t>
      </w:r>
      <w:r w:rsidR="00190B47" w:rsidRPr="00190B47">
        <w:rPr>
          <w:rFonts w:ascii="Titillium Web" w:hAnsi="Titillium Web" w:cs="Tahoma"/>
          <w:iCs/>
          <w:sz w:val="22"/>
          <w:szCs w:val="22"/>
        </w:rPr>
        <w:t>.</w:t>
      </w: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3BB73A20" w14:textId="0A8835C9" w:rsidR="00CF38E2" w:rsidRPr="000F429E" w:rsidRDefault="00135C2B"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4F6C7E13"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0F429E">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4799C" w14:textId="77777777" w:rsidR="00EB4E62" w:rsidRDefault="00EB4E62" w:rsidP="00AC4A5E">
      <w:r>
        <w:separator/>
      </w:r>
    </w:p>
  </w:endnote>
  <w:endnote w:type="continuationSeparator" w:id="0">
    <w:p w14:paraId="0D793769" w14:textId="77777777" w:rsidR="00EB4E62" w:rsidRDefault="00EB4E6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rsidR="002F38C8">
          <w:rPr>
            <w:noProof/>
          </w:rPr>
          <w:t>3</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2C2D" w14:textId="77777777" w:rsidR="00EB4E62" w:rsidRDefault="00EB4E62" w:rsidP="00AC4A5E">
      <w:r>
        <w:separator/>
      </w:r>
    </w:p>
  </w:footnote>
  <w:footnote w:type="continuationSeparator" w:id="0">
    <w:p w14:paraId="607CDFF0" w14:textId="77777777" w:rsidR="00EB4E62" w:rsidRDefault="00EB4E62"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2BD3A" w14:textId="7AF94A5E" w:rsidR="00C30C1A" w:rsidRDefault="000F3B73">
    <w:pPr>
      <w:pStyle w:val="Intestazione"/>
    </w:pPr>
    <w:r>
      <w:rPr>
        <w:noProof/>
        <w:lang w:eastAsia="it-IT"/>
      </w:rPr>
      <w:drawing>
        <wp:anchor distT="0" distB="0" distL="114300" distR="114300" simplePos="0" relativeHeight="251661312" behindDoc="0" locked="0" layoutInCell="1" allowOverlap="1" wp14:anchorId="48A6E791" wp14:editId="09E2F000">
          <wp:simplePos x="0" y="0"/>
          <wp:positionH relativeFrom="column">
            <wp:posOffset>4994910</wp:posOffset>
          </wp:positionH>
          <wp:positionV relativeFrom="paragraph">
            <wp:posOffset>-240030</wp:posOffset>
          </wp:positionV>
          <wp:extent cx="1381125" cy="423789"/>
          <wp:effectExtent l="0" t="0" r="0" b="0"/>
          <wp:wrapNone/>
          <wp:docPr id="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0" locked="0" layoutInCell="1" allowOverlap="1" wp14:anchorId="46B58E22" wp14:editId="32529188">
          <wp:simplePos x="0" y="0"/>
          <wp:positionH relativeFrom="page">
            <wp:align>left</wp:align>
          </wp:positionH>
          <wp:positionV relativeFrom="paragraph">
            <wp:posOffset>-448310</wp:posOffset>
          </wp:positionV>
          <wp:extent cx="7555230" cy="1143000"/>
          <wp:effectExtent l="0" t="0" r="762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5230"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2934159">
    <w:abstractNumId w:val="0"/>
  </w:num>
  <w:num w:numId="2" w16cid:durableId="1479028157">
    <w:abstractNumId w:val="2"/>
  </w:num>
  <w:num w:numId="3" w16cid:durableId="801537530">
    <w:abstractNumId w:val="4"/>
  </w:num>
  <w:num w:numId="4" w16cid:durableId="1155727443">
    <w:abstractNumId w:val="3"/>
  </w:num>
  <w:num w:numId="5" w16cid:durableId="39991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8F"/>
    <w:rsid w:val="000262B2"/>
    <w:rsid w:val="00062031"/>
    <w:rsid w:val="0006390B"/>
    <w:rsid w:val="000A405D"/>
    <w:rsid w:val="000E24B3"/>
    <w:rsid w:val="000F3B73"/>
    <w:rsid w:val="000F429E"/>
    <w:rsid w:val="00135C2B"/>
    <w:rsid w:val="001832AF"/>
    <w:rsid w:val="00186455"/>
    <w:rsid w:val="00190B47"/>
    <w:rsid w:val="001B114C"/>
    <w:rsid w:val="001B5E12"/>
    <w:rsid w:val="001D57D6"/>
    <w:rsid w:val="001F0880"/>
    <w:rsid w:val="001F3B5F"/>
    <w:rsid w:val="001F6879"/>
    <w:rsid w:val="002350C4"/>
    <w:rsid w:val="002A0854"/>
    <w:rsid w:val="002A1A37"/>
    <w:rsid w:val="002A5D47"/>
    <w:rsid w:val="002F38C8"/>
    <w:rsid w:val="00310058"/>
    <w:rsid w:val="00312A1C"/>
    <w:rsid w:val="0032663F"/>
    <w:rsid w:val="00373F26"/>
    <w:rsid w:val="003B0CEF"/>
    <w:rsid w:val="003B6F0D"/>
    <w:rsid w:val="003C24C5"/>
    <w:rsid w:val="0047151D"/>
    <w:rsid w:val="004C3F7A"/>
    <w:rsid w:val="004E2691"/>
    <w:rsid w:val="0056278F"/>
    <w:rsid w:val="00594B73"/>
    <w:rsid w:val="005D602E"/>
    <w:rsid w:val="005E3183"/>
    <w:rsid w:val="006224EA"/>
    <w:rsid w:val="0065084D"/>
    <w:rsid w:val="00660EDA"/>
    <w:rsid w:val="00686D9F"/>
    <w:rsid w:val="006A301A"/>
    <w:rsid w:val="006B6EB9"/>
    <w:rsid w:val="00720296"/>
    <w:rsid w:val="00732A74"/>
    <w:rsid w:val="00747F2B"/>
    <w:rsid w:val="007513B8"/>
    <w:rsid w:val="007636F6"/>
    <w:rsid w:val="00795B88"/>
    <w:rsid w:val="007C4A36"/>
    <w:rsid w:val="00803151"/>
    <w:rsid w:val="00870C5E"/>
    <w:rsid w:val="008870CC"/>
    <w:rsid w:val="008A1394"/>
    <w:rsid w:val="008D7F9B"/>
    <w:rsid w:val="008F1351"/>
    <w:rsid w:val="0090153D"/>
    <w:rsid w:val="00911A25"/>
    <w:rsid w:val="009218BB"/>
    <w:rsid w:val="009248B9"/>
    <w:rsid w:val="009407A8"/>
    <w:rsid w:val="00951EBF"/>
    <w:rsid w:val="009762D5"/>
    <w:rsid w:val="009A27F2"/>
    <w:rsid w:val="009B09E5"/>
    <w:rsid w:val="009D607A"/>
    <w:rsid w:val="009F06AD"/>
    <w:rsid w:val="00A3666E"/>
    <w:rsid w:val="00A714C4"/>
    <w:rsid w:val="00AA52F2"/>
    <w:rsid w:val="00AB767E"/>
    <w:rsid w:val="00AC431F"/>
    <w:rsid w:val="00AC4A5E"/>
    <w:rsid w:val="00B2456D"/>
    <w:rsid w:val="00B250E1"/>
    <w:rsid w:val="00B46E16"/>
    <w:rsid w:val="00B5666E"/>
    <w:rsid w:val="00B6078C"/>
    <w:rsid w:val="00B66859"/>
    <w:rsid w:val="00B80223"/>
    <w:rsid w:val="00BE3321"/>
    <w:rsid w:val="00C044E9"/>
    <w:rsid w:val="00C146DD"/>
    <w:rsid w:val="00C30C1A"/>
    <w:rsid w:val="00C30E94"/>
    <w:rsid w:val="00C36E7E"/>
    <w:rsid w:val="00C439B3"/>
    <w:rsid w:val="00CE5433"/>
    <w:rsid w:val="00CE6113"/>
    <w:rsid w:val="00CE6972"/>
    <w:rsid w:val="00CF38E2"/>
    <w:rsid w:val="00D23B20"/>
    <w:rsid w:val="00D420AF"/>
    <w:rsid w:val="00D7556E"/>
    <w:rsid w:val="00D778F8"/>
    <w:rsid w:val="00D80B38"/>
    <w:rsid w:val="00D8158D"/>
    <w:rsid w:val="00E013E5"/>
    <w:rsid w:val="00EA2D08"/>
    <w:rsid w:val="00EB4E62"/>
    <w:rsid w:val="00EC79B0"/>
    <w:rsid w:val="00FA6F13"/>
    <w:rsid w:val="00FE15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character" w:styleId="Rimandocommento">
    <w:name w:val="annotation reference"/>
    <w:basedOn w:val="Carpredefinitoparagrafo"/>
    <w:uiPriority w:val="99"/>
    <w:semiHidden/>
    <w:unhideWhenUsed/>
    <w:rsid w:val="00B80223"/>
    <w:rPr>
      <w:sz w:val="16"/>
      <w:szCs w:val="16"/>
    </w:rPr>
  </w:style>
  <w:style w:type="paragraph" w:styleId="Testocommento">
    <w:name w:val="annotation text"/>
    <w:basedOn w:val="Normale"/>
    <w:link w:val="TestocommentoCarattere"/>
    <w:uiPriority w:val="99"/>
    <w:unhideWhenUsed/>
    <w:rsid w:val="00B80223"/>
    <w:rPr>
      <w:sz w:val="20"/>
      <w:szCs w:val="20"/>
    </w:rPr>
  </w:style>
  <w:style w:type="character" w:customStyle="1" w:styleId="TestocommentoCarattere">
    <w:name w:val="Testo commento Carattere"/>
    <w:basedOn w:val="Carpredefinitoparagrafo"/>
    <w:link w:val="Testocommento"/>
    <w:uiPriority w:val="99"/>
    <w:rsid w:val="00B80223"/>
    <w:rPr>
      <w:rFonts w:ascii="Times New Roman" w:eastAsia="Times New Roman" w:hAnsi="Times New Roman" w:cs="Times New Roman"/>
      <w:kern w:val="0"/>
      <w:sz w:val="20"/>
      <w:szCs w:val="20"/>
      <w:lang w:eastAsia="ar-SA"/>
      <w14:ligatures w14:val="none"/>
    </w:rPr>
  </w:style>
  <w:style w:type="paragraph" w:styleId="Soggettocommento">
    <w:name w:val="annotation subject"/>
    <w:basedOn w:val="Testocommento"/>
    <w:next w:val="Testocommento"/>
    <w:link w:val="SoggettocommentoCarattere"/>
    <w:uiPriority w:val="99"/>
    <w:semiHidden/>
    <w:unhideWhenUsed/>
    <w:rsid w:val="00B80223"/>
    <w:rPr>
      <w:b/>
      <w:bCs/>
    </w:rPr>
  </w:style>
  <w:style w:type="character" w:customStyle="1" w:styleId="SoggettocommentoCarattere">
    <w:name w:val="Soggetto commento Carattere"/>
    <w:basedOn w:val="TestocommentoCarattere"/>
    <w:link w:val="Soggettocommento"/>
    <w:uiPriority w:val="99"/>
    <w:semiHidden/>
    <w:rsid w:val="00B80223"/>
    <w:rPr>
      <w:rFonts w:ascii="Times New Roman" w:eastAsia="Times New Roman" w:hAnsi="Times New Roman" w:cs="Times New Roman"/>
      <w:b/>
      <w:bCs/>
      <w:kern w:val="0"/>
      <w:sz w:val="20"/>
      <w:szCs w:val="20"/>
      <w:lang w:eastAsia="ar-SA"/>
      <w14:ligatures w14:val="none"/>
    </w:rPr>
  </w:style>
  <w:style w:type="paragraph" w:styleId="Revisione">
    <w:name w:val="Revision"/>
    <w:hidden/>
    <w:uiPriority w:val="99"/>
    <w:semiHidden/>
    <w:rsid w:val="002A5D47"/>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240726">
      <w:bodyDiv w:val="1"/>
      <w:marLeft w:val="0"/>
      <w:marRight w:val="0"/>
      <w:marTop w:val="0"/>
      <w:marBottom w:val="0"/>
      <w:divBdr>
        <w:top w:val="none" w:sz="0" w:space="0" w:color="auto"/>
        <w:left w:val="none" w:sz="0" w:space="0" w:color="auto"/>
        <w:bottom w:val="none" w:sz="0" w:space="0" w:color="auto"/>
        <w:right w:val="none" w:sz="0" w:space="0" w:color="auto"/>
      </w:divBdr>
    </w:div>
    <w:div w:id="124433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1389</Words>
  <Characters>7919</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Francesca Formica</cp:lastModifiedBy>
  <cp:revision>4</cp:revision>
  <dcterms:created xsi:type="dcterms:W3CDTF">2024-09-30T12:28:00Z</dcterms:created>
  <dcterms:modified xsi:type="dcterms:W3CDTF">2024-10-03T09:42:00Z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2024-06-08T18:41:57Z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06e4f961-82d6-4585-8954-4e7833c00af5</vt:lpwstr>
  </property>
  <property fmtid="{D5CDD505-2E9C-101B-9397-08002B2CF9AE}" pid="8" name="MSIP_Label_2ad0b24d-6422-44b0-b3de-abb3a9e8c81a_ContentBits">
    <vt:lpwstr>0</vt:lpwstr>
  </property>
</Properties>
</file>