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AF6" w:rsidRPr="008B1E88" w:rsidRDefault="009F5AF6" w:rsidP="009F5AF6">
      <w:pPr>
        <w:jc w:val="center"/>
        <w:rPr>
          <w:rFonts w:ascii="Titillium Web" w:hAnsi="Titillium Web"/>
          <w:b/>
          <w:bCs/>
          <w:color w:val="000000"/>
        </w:rPr>
      </w:pPr>
    </w:p>
    <w:p w:rsidR="009F5AF6" w:rsidRPr="008B1E88" w:rsidRDefault="009F5AF6" w:rsidP="00E84F90">
      <w:pPr>
        <w:rPr>
          <w:rFonts w:ascii="Titillium Web" w:hAnsi="Titillium Web"/>
          <w:b/>
          <w:bCs/>
          <w:color w:val="000000"/>
        </w:rPr>
      </w:pPr>
    </w:p>
    <w:p w:rsidR="009F5AF6" w:rsidRPr="008B1E88" w:rsidRDefault="009F5AF6" w:rsidP="009F5AF6">
      <w:pPr>
        <w:jc w:val="center"/>
        <w:rPr>
          <w:rFonts w:ascii="Titillium Web" w:hAnsi="Titillium Web"/>
          <w:b/>
          <w:bCs/>
          <w:color w:val="000000"/>
        </w:rPr>
      </w:pPr>
    </w:p>
    <w:p w:rsidR="00E6043B" w:rsidRPr="00A906D4" w:rsidRDefault="00521AE4" w:rsidP="00E6043B">
      <w:pPr>
        <w:autoSpaceDE w:val="0"/>
        <w:autoSpaceDN w:val="0"/>
        <w:adjustRightInd w:val="0"/>
        <w:jc w:val="right"/>
        <w:rPr>
          <w:rFonts w:ascii="Titillium Web" w:hAnsi="Titillium Web"/>
          <w:b/>
          <w:bCs/>
          <w:lang w:val="en-US"/>
        </w:rPr>
      </w:pPr>
      <w:r w:rsidRPr="008B1E88">
        <w:rPr>
          <w:rFonts w:ascii="Titillium Web" w:hAnsi="Titillium Web"/>
          <w:b/>
          <w:bCs/>
          <w:color w:val="000000"/>
        </w:rPr>
        <w:tab/>
      </w:r>
      <w:r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A906D4">
        <w:rPr>
          <w:rFonts w:ascii="Titillium Web" w:hAnsi="Titillium Web"/>
          <w:b/>
          <w:bCs/>
          <w:color w:val="000000"/>
          <w:lang w:val="en-US"/>
        </w:rPr>
        <w:t xml:space="preserve">           </w:t>
      </w:r>
      <w:r w:rsidR="007E6A4C" w:rsidRPr="00A906D4">
        <w:rPr>
          <w:rFonts w:ascii="Titillium Web" w:hAnsi="Titillium Web"/>
          <w:b/>
          <w:bCs/>
          <w:lang w:val="en-US"/>
        </w:rPr>
        <w:t xml:space="preserve">Annex A4  </w:t>
      </w:r>
    </w:p>
    <w:p w:rsidR="00E007D0" w:rsidRPr="00A906D4" w:rsidRDefault="00571AC2" w:rsidP="00F73B91">
      <w:pPr>
        <w:tabs>
          <w:tab w:val="left" w:pos="5812"/>
        </w:tabs>
        <w:autoSpaceDE w:val="0"/>
        <w:autoSpaceDN w:val="0"/>
        <w:adjustRightInd w:val="0"/>
        <w:jc w:val="both"/>
        <w:rPr>
          <w:rFonts w:ascii="Titillium Web" w:hAnsi="Titillium Web"/>
          <w:b/>
          <w:lang w:val="en-US"/>
        </w:rPr>
      </w:pPr>
      <w:r w:rsidRPr="00A906D4">
        <w:rPr>
          <w:rFonts w:ascii="Titillium Web" w:hAnsi="Titillium Web"/>
          <w:b/>
          <w:lang w:val="en-US"/>
        </w:rPr>
        <w:t xml:space="preserve">                            </w:t>
      </w:r>
      <w:r w:rsidRPr="00A906D4">
        <w:rPr>
          <w:rFonts w:ascii="Titillium Web" w:hAnsi="Titillium Web"/>
          <w:b/>
          <w:lang w:val="en-US"/>
        </w:rPr>
        <w:tab/>
      </w:r>
      <w:r w:rsidRPr="00A906D4">
        <w:rPr>
          <w:rFonts w:ascii="Titillium Web" w:hAnsi="Titillium Web"/>
          <w:b/>
          <w:lang w:val="en-US"/>
        </w:rPr>
        <w:tab/>
      </w:r>
      <w:r w:rsidRPr="00A906D4">
        <w:rPr>
          <w:rFonts w:ascii="Titillium Web" w:hAnsi="Titillium Web"/>
          <w:b/>
          <w:lang w:val="en-US"/>
        </w:rPr>
        <w:tab/>
      </w:r>
      <w:r w:rsidRPr="00A906D4">
        <w:rPr>
          <w:rFonts w:ascii="Titillium Web" w:hAnsi="Titillium Web"/>
          <w:b/>
          <w:lang w:val="en-US"/>
        </w:rPr>
        <w:tab/>
      </w:r>
      <w:r w:rsidRPr="00A906D4">
        <w:rPr>
          <w:rFonts w:ascii="Titillium Web" w:hAnsi="Titillium Web"/>
          <w:b/>
          <w:lang w:val="en-US"/>
        </w:rPr>
        <w:tab/>
      </w:r>
      <w:r w:rsidRPr="00A906D4">
        <w:rPr>
          <w:rFonts w:ascii="Titillium Web" w:hAnsi="Titillium Web"/>
          <w:b/>
          <w:lang w:val="en-US"/>
        </w:rPr>
        <w:tab/>
        <w:t xml:space="preserve">     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rsidR="00F73B91" w:rsidRPr="00A906D4" w:rsidRDefault="00F73B91" w:rsidP="00F73B91">
      <w:pPr>
        <w:tabs>
          <w:tab w:val="left" w:pos="5812"/>
        </w:tabs>
        <w:autoSpaceDE w:val="0"/>
        <w:autoSpaceDN w:val="0"/>
        <w:adjustRightInd w:val="0"/>
        <w:jc w:val="both"/>
        <w:rPr>
          <w:rFonts w:ascii="Titillium Web" w:hAnsi="Titillium Web"/>
          <w:b/>
          <w:lang w:val="en-US"/>
        </w:rPr>
      </w:pPr>
    </w:p>
    <w:p w:rsidR="00571AC2" w:rsidRPr="00A906D4" w:rsidRDefault="00F7354A" w:rsidP="00571AC2">
      <w:pPr>
        <w:jc w:val="both"/>
        <w:rPr>
          <w:rFonts w:ascii="Titillium Web" w:hAnsi="Titillium Web"/>
          <w:b/>
          <w:lang w:val="en-US"/>
        </w:rPr>
      </w:pPr>
      <w:r w:rsidRPr="00A906D4">
        <w:rPr>
          <w:rFonts w:ascii="Titillium Web" w:hAnsi="Titillium Web"/>
          <w:b/>
          <w:lang w:val="en-US"/>
        </w:rPr>
        <w:t xml:space="preserve">Supplementary declarations made by the auxiliary: Substitute declarations pursuant to articles 46 and 47 of Presidential Decree 445/2000 and subsequent amendments </w:t>
      </w:r>
    </w:p>
    <w:p w:rsidR="00571AC2" w:rsidRPr="00A906D4" w:rsidRDefault="00571AC2" w:rsidP="00571AC2">
      <w:pPr>
        <w:jc w:val="center"/>
        <w:rPr>
          <w:rFonts w:ascii="Titillium Web" w:hAnsi="Titillium Web"/>
          <w:b/>
          <w:lang w:val="en-US"/>
        </w:rPr>
      </w:pPr>
    </w:p>
    <w:p w:rsidR="00571AC2" w:rsidRPr="00A906D4" w:rsidRDefault="00571AC2" w:rsidP="005E5A59">
      <w:pPr>
        <w:jc w:val="both"/>
        <w:rPr>
          <w:rFonts w:ascii="Titillium Web" w:hAnsi="Titillium Web"/>
          <w:lang w:val="en-US"/>
        </w:rPr>
      </w:pPr>
      <w:r w:rsidRPr="00A906D4">
        <w:rPr>
          <w:rFonts w:ascii="Titillium Web" w:hAnsi="Titillium Web"/>
          <w:lang w:val="en-US"/>
        </w:rPr>
        <w:t>The undersigned ______________________</w:t>
      </w:r>
      <w:r w:rsidR="00C52422">
        <w:rPr>
          <w:rFonts w:ascii="Titillium Web" w:hAnsi="Titillium Web"/>
          <w:lang w:val="en-US"/>
        </w:rPr>
        <w:t>born</w:t>
      </w:r>
      <w:r w:rsidRPr="00A906D4">
        <w:rPr>
          <w:rFonts w:ascii="Titillium Web" w:hAnsi="Titillium Web"/>
          <w:lang w:val="en-US"/>
        </w:rPr>
        <w:t xml:space="preserve">_____________ </w:t>
      </w:r>
      <w:r w:rsidR="00C52422">
        <w:rPr>
          <w:rFonts w:ascii="Titillium Web" w:hAnsi="Titillium Web"/>
          <w:lang w:val="en-US"/>
        </w:rPr>
        <w:t>on</w:t>
      </w:r>
      <w:r w:rsidRPr="00A906D4">
        <w:rPr>
          <w:rFonts w:ascii="Titillium Web" w:hAnsi="Titillium Web"/>
          <w:lang w:val="en-US"/>
        </w:rPr>
        <w:t xml:space="preserve"> _________resident in ____________________ at street __________________________ no. ________, domiciled in _______________ (fill in if different from residence), at street ________________________________, as __________________________ of the Company (name/company name)_______________________________________</w:t>
      </w:r>
      <w:r w:rsidR="00C52422">
        <w:rPr>
          <w:rFonts w:ascii="Titillium Web" w:hAnsi="Titillium Web"/>
          <w:lang w:val="en-US"/>
        </w:rPr>
        <w:t>aware</w:t>
      </w:r>
      <w:r w:rsidRPr="00A906D4">
        <w:rPr>
          <w:rFonts w:ascii="Titillium Web" w:hAnsi="Titillium Web"/>
          <w:lang w:val="en-US"/>
        </w:rPr>
        <w:t xml:space="preserve"> of the criminal sanctions provided for the hypothesis of falsity in deeds and false declarations, as well as the forfeiture of any benefits obtained as a result of the measure issued on the basis of the untruthful declaration (Articles 75 and 76 of Presidential Decree 445/2000) under their own responsibility</w:t>
      </w:r>
    </w:p>
    <w:p w:rsidR="00747C97" w:rsidRPr="00A906D4" w:rsidRDefault="00747C97" w:rsidP="005E5A59">
      <w:pPr>
        <w:jc w:val="both"/>
        <w:rPr>
          <w:rFonts w:ascii="Titillium Web" w:hAnsi="Titillium Web"/>
          <w:lang w:val="en-US"/>
        </w:rPr>
      </w:pPr>
    </w:p>
    <w:p w:rsidR="00571AC2" w:rsidRPr="00A906D4" w:rsidRDefault="00B55223" w:rsidP="00B55223">
      <w:pPr>
        <w:autoSpaceDE w:val="0"/>
        <w:autoSpaceDN w:val="0"/>
        <w:adjustRightInd w:val="0"/>
        <w:jc w:val="center"/>
        <w:rPr>
          <w:rFonts w:ascii="Titillium Web" w:hAnsi="Titillium Web"/>
          <w:b/>
          <w:lang w:val="en-US"/>
        </w:rPr>
      </w:pPr>
      <w:r w:rsidRPr="00A906D4">
        <w:rPr>
          <w:rFonts w:ascii="Titillium Web" w:hAnsi="Titillium Web"/>
          <w:b/>
          <w:lang w:val="en-US"/>
        </w:rPr>
        <w:t>UNDERTAKES</w:t>
      </w:r>
    </w:p>
    <w:p w:rsidR="00B55223" w:rsidRPr="00A906D4" w:rsidRDefault="00B55223" w:rsidP="00B55223">
      <w:pPr>
        <w:autoSpaceDE w:val="0"/>
        <w:autoSpaceDN w:val="0"/>
        <w:adjustRightInd w:val="0"/>
        <w:jc w:val="center"/>
        <w:rPr>
          <w:rFonts w:ascii="Titillium Web" w:hAnsi="Titillium Web"/>
          <w:b/>
          <w:lang w:val="en-US"/>
        </w:rPr>
      </w:pPr>
    </w:p>
    <w:p w:rsidR="00B55223" w:rsidRPr="00A906D4" w:rsidRDefault="00B55223" w:rsidP="00B55223">
      <w:pPr>
        <w:pStyle w:val="Paragrafoelenco"/>
        <w:widowControl w:val="0"/>
        <w:ind w:left="0"/>
        <w:rPr>
          <w:rFonts w:ascii="Titillium Web" w:hAnsi="Titillium Web"/>
          <w:szCs w:val="24"/>
          <w:lang w:val="en-US"/>
        </w:rPr>
      </w:pPr>
      <w:r w:rsidRPr="00A906D4">
        <w:rPr>
          <w:rFonts w:ascii="Titillium Web" w:hAnsi="Titillium Web"/>
          <w:szCs w:val="24"/>
          <w:lang w:val="en-US"/>
        </w:rPr>
        <w:t>pursuant to art. 104, paragraph 4, letter c) of the Code, to the tenderer and to the contracting authority, to make available, for the entire duration of the contract, the necessary resources of which the tenderer is lacking indicated below:</w:t>
      </w:r>
    </w:p>
    <w:p w:rsidR="00B55223" w:rsidRPr="008B1E88" w:rsidRDefault="00B55223" w:rsidP="00B55223">
      <w:pPr>
        <w:pStyle w:val="Paragrafoelenco"/>
        <w:widowControl w:val="0"/>
        <w:ind w:left="0"/>
        <w:rPr>
          <w:rFonts w:ascii="Titillium Web" w:hAnsi="Titillium Web"/>
          <w:szCs w:val="24"/>
        </w:rPr>
      </w:pPr>
      <w:r w:rsidRPr="008B1E88">
        <w:rPr>
          <w:rFonts w:ascii="Titillium Web" w:hAnsi="Titillium We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5223" w:rsidRPr="008B1E88" w:rsidRDefault="00B55223" w:rsidP="00B55223">
      <w:pPr>
        <w:autoSpaceDE w:val="0"/>
        <w:autoSpaceDN w:val="0"/>
        <w:adjustRightInd w:val="0"/>
        <w:jc w:val="center"/>
        <w:rPr>
          <w:rFonts w:ascii="Titillium Web" w:hAnsi="Titillium Web"/>
          <w:b/>
        </w:rPr>
      </w:pPr>
      <w:r w:rsidRPr="008B1E88">
        <w:rPr>
          <w:rFonts w:ascii="Titillium Web" w:hAnsi="Titillium Web"/>
          <w:b/>
        </w:rPr>
        <w:t>STATES:</w:t>
      </w:r>
    </w:p>
    <w:p w:rsidR="00B55223" w:rsidRPr="008B1E88" w:rsidRDefault="00B55223" w:rsidP="00B55223">
      <w:pPr>
        <w:pStyle w:val="Paragrafoelenco"/>
        <w:widowControl w:val="0"/>
        <w:ind w:left="567"/>
        <w:rPr>
          <w:rFonts w:ascii="Titillium Web" w:hAnsi="Titillium Web"/>
          <w:szCs w:val="24"/>
        </w:rPr>
      </w:pPr>
    </w:p>
    <w:p w:rsidR="00E95E86" w:rsidRPr="00A906D4" w:rsidRDefault="00571AC2" w:rsidP="00153FD2">
      <w:pPr>
        <w:numPr>
          <w:ilvl w:val="0"/>
          <w:numId w:val="14"/>
        </w:numPr>
        <w:autoSpaceDE w:val="0"/>
        <w:autoSpaceDN w:val="0"/>
        <w:adjustRightInd w:val="0"/>
        <w:jc w:val="both"/>
        <w:rPr>
          <w:rFonts w:ascii="Titillium Web" w:hAnsi="Titillium Web"/>
          <w:lang w:val="en-US"/>
        </w:rPr>
      </w:pPr>
      <w:r w:rsidRPr="00A906D4">
        <w:rPr>
          <w:rFonts w:ascii="Titillium Web" w:hAnsi="Titillium Web"/>
          <w:lang w:val="en-US"/>
        </w:rPr>
        <w:t>that the conditions referred to in Articles 94 and 95 of Legislative Decree 36/2023 do not exist in their regard.</w:t>
      </w:r>
    </w:p>
    <w:p w:rsidR="005A5AB8" w:rsidRPr="00A906D4" w:rsidRDefault="005A5AB8" w:rsidP="005A5AB8">
      <w:pPr>
        <w:autoSpaceDE w:val="0"/>
        <w:autoSpaceDN w:val="0"/>
        <w:adjustRightInd w:val="0"/>
        <w:ind w:left="720"/>
        <w:jc w:val="both"/>
        <w:rPr>
          <w:rFonts w:ascii="Titillium Web" w:hAnsi="Titillium Web"/>
          <w:b/>
          <w:i/>
          <w:lang w:val="en-US"/>
        </w:rPr>
      </w:pPr>
    </w:p>
    <w:p w:rsidR="005A5AB8" w:rsidRPr="008B1E88" w:rsidRDefault="00AF6FA3" w:rsidP="00571AC2">
      <w:pPr>
        <w:autoSpaceDE w:val="0"/>
        <w:autoSpaceDN w:val="0"/>
        <w:adjustRightInd w:val="0"/>
        <w:jc w:val="both"/>
        <w:rPr>
          <w:rFonts w:ascii="Titillium Web" w:hAnsi="Titillium Web"/>
          <w:b/>
        </w:rPr>
      </w:pPr>
      <w:r w:rsidRPr="008B1E88">
        <w:rPr>
          <w:rFonts w:ascii="Titillium Web" w:hAnsi="Titillium Web"/>
          <w:b/>
        </w:rPr>
        <w:t>(</w:t>
      </w:r>
      <w:proofErr w:type="spellStart"/>
      <w:r w:rsidRPr="008B1E88">
        <w:rPr>
          <w:rFonts w:ascii="Titillium Web" w:hAnsi="Titillium Web"/>
          <w:b/>
        </w:rPr>
        <w:t>only</w:t>
      </w:r>
      <w:proofErr w:type="spellEnd"/>
      <w:r w:rsidRPr="008B1E88">
        <w:rPr>
          <w:rFonts w:ascii="Titillium Web" w:hAnsi="Titillium Web"/>
          <w:b/>
        </w:rPr>
        <w:t xml:space="preserve"> </w:t>
      </w:r>
      <w:proofErr w:type="spellStart"/>
      <w:r w:rsidRPr="008B1E88">
        <w:rPr>
          <w:rFonts w:ascii="Titillium Web" w:hAnsi="Titillium Web"/>
          <w:b/>
        </w:rPr>
        <w:t>if</w:t>
      </w:r>
      <w:proofErr w:type="spellEnd"/>
      <w:r w:rsidRPr="008B1E88">
        <w:rPr>
          <w:rFonts w:ascii="Titillium Web" w:hAnsi="Titillium Web"/>
          <w:b/>
        </w:rPr>
        <w:t xml:space="preserve"> </w:t>
      </w:r>
      <w:proofErr w:type="spellStart"/>
      <w:r w:rsidRPr="008B1E88">
        <w:rPr>
          <w:rFonts w:ascii="Titillium Web" w:hAnsi="Titillium Web"/>
          <w:b/>
        </w:rPr>
        <w:t>necessary</w:t>
      </w:r>
      <w:proofErr w:type="spellEnd"/>
      <w:r w:rsidRPr="008B1E88">
        <w:rPr>
          <w:rFonts w:ascii="Titillium Web" w:hAnsi="Titillium Web"/>
          <w:b/>
        </w:rPr>
        <w:t>)</w:t>
      </w:r>
    </w:p>
    <w:p w:rsidR="00AF6FA3" w:rsidRPr="00A906D4" w:rsidRDefault="00AF6FA3" w:rsidP="00AF6FA3">
      <w:pPr>
        <w:pStyle w:val="Paragrafoelenco"/>
        <w:widowControl w:val="0"/>
        <w:numPr>
          <w:ilvl w:val="0"/>
          <w:numId w:val="14"/>
        </w:numPr>
        <w:rPr>
          <w:rFonts w:ascii="Titillium Web" w:hAnsi="Titillium Web"/>
          <w:szCs w:val="24"/>
          <w:lang w:val="en-US"/>
        </w:rPr>
      </w:pPr>
      <w:r w:rsidRPr="00A906D4">
        <w:rPr>
          <w:rFonts w:ascii="Titillium Web" w:hAnsi="Titillium Web"/>
          <w:szCs w:val="24"/>
          <w:lang w:val="en-US"/>
        </w:rPr>
        <w:t xml:space="preserve">to be in possession of a valid authorisation issued pursuant to the Ministerial Decree of 14 December 2010 of the Ministry of Economy and Finance pursuant to (Article 37 of Legislative Decree 78/2010, converted into Law 122/2010) </w:t>
      </w:r>
    </w:p>
    <w:p w:rsidR="00AF6FA3" w:rsidRPr="008B1E88" w:rsidRDefault="00AF6FA3" w:rsidP="00AF6FA3">
      <w:pPr>
        <w:pStyle w:val="Paragrafoelenco"/>
        <w:widowControl w:val="0"/>
        <w:ind w:left="405"/>
        <w:jc w:val="center"/>
        <w:rPr>
          <w:rFonts w:ascii="Titillium Web" w:hAnsi="Titillium Web"/>
          <w:szCs w:val="24"/>
        </w:rPr>
      </w:pPr>
      <w:r w:rsidRPr="008B1E88">
        <w:rPr>
          <w:rFonts w:ascii="Titillium Web" w:hAnsi="Titillium Web"/>
          <w:b/>
          <w:szCs w:val="24"/>
        </w:rPr>
        <w:t>or (</w:t>
      </w:r>
      <w:proofErr w:type="spellStart"/>
      <w:r w:rsidRPr="008B1E88">
        <w:rPr>
          <w:rFonts w:ascii="Titillium Web" w:hAnsi="Titillium Web"/>
          <w:b/>
          <w:szCs w:val="24"/>
        </w:rPr>
        <w:t>see</w:t>
      </w:r>
      <w:proofErr w:type="spellEnd"/>
      <w:r w:rsidRPr="008B1E88">
        <w:rPr>
          <w:rFonts w:ascii="Titillium Web" w:hAnsi="Titillium Web"/>
          <w:b/>
          <w:szCs w:val="24"/>
        </w:rPr>
        <w:t xml:space="preserve"> note 1)</w:t>
      </w:r>
    </w:p>
    <w:p w:rsidR="00AF6FA3" w:rsidRPr="00A906D4" w:rsidRDefault="00AF6FA3" w:rsidP="00AF6FA3">
      <w:pPr>
        <w:pStyle w:val="Paragrafoelenco"/>
        <w:widowControl w:val="0"/>
        <w:numPr>
          <w:ilvl w:val="0"/>
          <w:numId w:val="14"/>
        </w:numPr>
        <w:rPr>
          <w:rFonts w:ascii="Titillium Web" w:hAnsi="Titillium Web"/>
          <w:szCs w:val="24"/>
          <w:lang w:val="en-US"/>
        </w:rPr>
      </w:pPr>
      <w:r w:rsidRPr="00A906D4">
        <w:rPr>
          <w:rFonts w:ascii="Titillium Web" w:hAnsi="Titillium Web"/>
          <w:szCs w:val="24"/>
          <w:lang w:val="en-US"/>
        </w:rPr>
        <w:t xml:space="preserve">to have </w:t>
      </w:r>
      <w:r w:rsidR="00C52422" w:rsidRPr="00A906D4">
        <w:rPr>
          <w:rFonts w:ascii="Titillium Web" w:hAnsi="Titillium Web"/>
          <w:szCs w:val="24"/>
          <w:lang w:val="en-US"/>
        </w:rPr>
        <w:t>applied</w:t>
      </w:r>
      <w:r w:rsidRPr="00A906D4">
        <w:rPr>
          <w:rFonts w:ascii="Titillium Web" w:hAnsi="Titillium Web"/>
          <w:szCs w:val="24"/>
          <w:lang w:val="en-US"/>
        </w:rPr>
        <w:t xml:space="preserve"> for authorization pursuant to art. 1 paragraph 3 of the Ministerial Decree of 14.12.2010 </w:t>
      </w:r>
      <w:bookmarkStart w:id="0" w:name="_GoBack"/>
      <w:r w:rsidRPr="00C52422">
        <w:rPr>
          <w:rFonts w:ascii="Titillium Web" w:hAnsi="Titillium Web"/>
          <w:szCs w:val="24"/>
          <w:lang w:val="en-US"/>
        </w:rPr>
        <w:t>with a copy of the authorization application</w:t>
      </w:r>
      <w:r w:rsidRPr="00A906D4">
        <w:rPr>
          <w:rFonts w:ascii="Titillium Web" w:hAnsi="Titillium Web"/>
          <w:szCs w:val="24"/>
          <w:lang w:val="en-US"/>
        </w:rPr>
        <w:t xml:space="preserve"> </w:t>
      </w:r>
      <w:bookmarkEnd w:id="0"/>
      <w:r w:rsidRPr="00A906D4">
        <w:rPr>
          <w:rFonts w:ascii="Titillium Web" w:hAnsi="Titillium Web"/>
          <w:szCs w:val="24"/>
          <w:lang w:val="en-US"/>
        </w:rPr>
        <w:t>sent to the Ministry attached.</w:t>
      </w:r>
    </w:p>
    <w:p w:rsidR="00AF6FA3" w:rsidRPr="00A906D4" w:rsidRDefault="00AF6FA3" w:rsidP="00AF6FA3">
      <w:pPr>
        <w:autoSpaceDE w:val="0"/>
        <w:autoSpaceDN w:val="0"/>
        <w:adjustRightInd w:val="0"/>
        <w:ind w:left="45"/>
        <w:jc w:val="both"/>
        <w:rPr>
          <w:rFonts w:ascii="Titillium Web" w:hAnsi="Titillium Web"/>
          <w:b/>
          <w:lang w:val="en-US"/>
        </w:rPr>
      </w:pPr>
    </w:p>
    <w:p w:rsidR="00571AC2" w:rsidRPr="00A906D4" w:rsidRDefault="00571AC2" w:rsidP="00571AC2">
      <w:pPr>
        <w:autoSpaceDE w:val="0"/>
        <w:autoSpaceDN w:val="0"/>
        <w:adjustRightInd w:val="0"/>
        <w:jc w:val="both"/>
        <w:rPr>
          <w:rFonts w:ascii="Titillium Web" w:hAnsi="Titillium Web"/>
          <w:iCs/>
          <w:lang w:val="en-US"/>
        </w:rPr>
      </w:pPr>
    </w:p>
    <w:p w:rsidR="00E87776" w:rsidRPr="00A906D4" w:rsidRDefault="00E87776" w:rsidP="00571AC2">
      <w:pPr>
        <w:autoSpaceDE w:val="0"/>
        <w:autoSpaceDN w:val="0"/>
        <w:adjustRightInd w:val="0"/>
        <w:jc w:val="both"/>
        <w:rPr>
          <w:rFonts w:ascii="Titillium Web" w:hAnsi="Titillium Web"/>
          <w:iCs/>
          <w:lang w:val="en-US"/>
        </w:rPr>
      </w:pPr>
    </w:p>
    <w:p w:rsidR="00571AC2" w:rsidRPr="00A906D4" w:rsidRDefault="00571AC2" w:rsidP="00571AC2">
      <w:pPr>
        <w:autoSpaceDE w:val="0"/>
        <w:autoSpaceDN w:val="0"/>
        <w:adjustRightInd w:val="0"/>
        <w:jc w:val="both"/>
        <w:rPr>
          <w:rFonts w:ascii="Titillium Web" w:hAnsi="Titillium Web"/>
          <w:lang w:val="en-US"/>
        </w:rPr>
      </w:pPr>
      <w:r w:rsidRPr="00A906D4">
        <w:rPr>
          <w:rFonts w:ascii="Titillium Web" w:hAnsi="Titillium Web"/>
          <w:lang w:val="en-US"/>
        </w:rPr>
        <w:t>Date____________</w:t>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t xml:space="preserve">    SIGNATURE</w:t>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Pr="00A906D4">
        <w:rPr>
          <w:rFonts w:ascii="Titillium Web" w:hAnsi="Titillium Web"/>
          <w:lang w:val="en-US"/>
        </w:rPr>
        <w:tab/>
      </w:r>
      <w:r w:rsidR="00752B6E" w:rsidRPr="00A906D4">
        <w:rPr>
          <w:rFonts w:ascii="Titillium Web" w:hAnsi="Titillium Web"/>
          <w:lang w:val="en-US"/>
        </w:rPr>
        <w:t xml:space="preserve">                         ___________________________</w:t>
      </w:r>
    </w:p>
    <w:p w:rsidR="00571AC2" w:rsidRPr="00A906D4" w:rsidRDefault="00571AC2" w:rsidP="00571AC2">
      <w:pPr>
        <w:autoSpaceDE w:val="0"/>
        <w:autoSpaceDN w:val="0"/>
        <w:adjustRightInd w:val="0"/>
        <w:jc w:val="both"/>
        <w:rPr>
          <w:rFonts w:ascii="Titillium Web" w:hAnsi="Titillium Web"/>
          <w:lang w:val="en-US"/>
        </w:rPr>
      </w:pPr>
    </w:p>
    <w:p w:rsidR="00496ECB" w:rsidRPr="00A906D4" w:rsidRDefault="00496ECB" w:rsidP="00496ECB">
      <w:pPr>
        <w:autoSpaceDE w:val="0"/>
        <w:autoSpaceDN w:val="0"/>
        <w:adjustRightInd w:val="0"/>
        <w:jc w:val="both"/>
        <w:rPr>
          <w:rFonts w:ascii="Titillium Web" w:hAnsi="Titillium Web"/>
          <w:i/>
          <w:lang w:val="en-US"/>
        </w:rPr>
      </w:pPr>
      <w:r w:rsidRPr="00A906D4">
        <w:rPr>
          <w:rFonts w:ascii="Titillium Web" w:hAnsi="Titillium Web"/>
          <w:i/>
          <w:lang w:val="en-US"/>
        </w:rPr>
        <w:t>They claim to be in formats of the following:</w:t>
      </w:r>
    </w:p>
    <w:p w:rsidR="00496ECB" w:rsidRPr="00A906D4" w:rsidRDefault="00496ECB" w:rsidP="00496ECB">
      <w:pPr>
        <w:autoSpaceDE w:val="0"/>
        <w:autoSpaceDN w:val="0"/>
        <w:adjustRightInd w:val="0"/>
        <w:jc w:val="both"/>
        <w:rPr>
          <w:rFonts w:ascii="Titillium Web" w:hAnsi="Titillium Web"/>
          <w:i/>
          <w:lang w:val="en-US"/>
        </w:rPr>
      </w:pPr>
      <w:r w:rsidRPr="00A906D4">
        <w:rPr>
          <w:rFonts w:ascii="Titillium Web" w:hAnsi="Titillium Web"/>
          <w:i/>
          <w:lang w:val="en-US"/>
        </w:rPr>
        <w:t xml:space="preserve">Information pursuant to art. 13 of Regulation (EU) 679/2016 laying down rules on the processing of personal data. </w:t>
      </w:r>
    </w:p>
    <w:p w:rsidR="00496ECB" w:rsidRPr="00A906D4" w:rsidRDefault="00496ECB" w:rsidP="00496ECB">
      <w:pPr>
        <w:autoSpaceDE w:val="0"/>
        <w:autoSpaceDN w:val="0"/>
        <w:adjustRightInd w:val="0"/>
        <w:jc w:val="both"/>
        <w:rPr>
          <w:rFonts w:ascii="Titillium Web" w:hAnsi="Titillium Web"/>
          <w:i/>
          <w:lang w:val="en-US"/>
        </w:rPr>
      </w:pPr>
      <w:r w:rsidRPr="00A906D4">
        <w:rPr>
          <w:rFonts w:ascii="Titillium Web" w:hAnsi="Titillium Web"/>
          <w:i/>
          <w:lang w:val="en-US"/>
        </w:rPr>
        <w:t xml:space="preserve">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their specific skills. Exclusively for problems relating to processing that does not comply with your personal data, you can contact the Data Controller by sending an email to the following address: ateneo@pec.unina.it; or to the Data Protection Officer: rpd@unina.it; PEC: rpd@pec.unina.it. For any other request relating to the procedure in question, it is possible to send a certified email to </w:t>
      </w:r>
      <w:hyperlink r:id="rId8" w:history="1">
        <w:r w:rsidR="00B55EB7" w:rsidRPr="00A906D4">
          <w:rPr>
            <w:rStyle w:val="Collegamentoipertestuale"/>
            <w:rFonts w:ascii="Titillium Web" w:hAnsi="Titillium Web"/>
            <w:i/>
            <w:lang w:val="en-US"/>
          </w:rPr>
          <w:t>contabilita.dip.farmacia@pec.unina.it</w:t>
        </w:r>
      </w:hyperlink>
      <w:r w:rsidR="00B55EB7" w:rsidRPr="00A906D4">
        <w:rPr>
          <w:rFonts w:ascii="Titillium Web" w:hAnsi="Titillium Web"/>
          <w:i/>
          <w:lang w:val="en-US"/>
        </w:rPr>
        <w:t xml:space="preserve">. The data subjects are entitled to the rights referred to in art. 15-22 of the EU Regulation. Complete information on the processing of personal data collected is provided on the University website: </w:t>
      </w:r>
      <w:hyperlink r:id="rId9" w:history="1">
        <w:r w:rsidRPr="00A906D4">
          <w:rPr>
            <w:rFonts w:ascii="Titillium Web" w:hAnsi="Titillium Web"/>
            <w:lang w:val="en-US"/>
          </w:rPr>
          <w:t>http://www.unina.it/ateneo/statuto-e-normativa/privacy</w:t>
        </w:r>
      </w:hyperlink>
      <w:r w:rsidRPr="00A906D4">
        <w:rPr>
          <w:rFonts w:ascii="Titillium Web" w:hAnsi="Titillium Web"/>
          <w:i/>
          <w:lang w:val="en-US"/>
        </w:rPr>
        <w:t xml:space="preserve">. </w:t>
      </w:r>
    </w:p>
    <w:p w:rsidR="00571AC2" w:rsidRPr="00A906D4" w:rsidRDefault="00571AC2" w:rsidP="003F3C39">
      <w:pPr>
        <w:spacing w:line="240" w:lineRule="atLeast"/>
        <w:ind w:right="24"/>
        <w:jc w:val="both"/>
        <w:rPr>
          <w:rFonts w:ascii="Titillium Web" w:hAnsi="Titillium Web"/>
          <w:b/>
          <w:position w:val="6"/>
          <w:lang w:val="en-US"/>
        </w:rPr>
      </w:pPr>
      <w:r w:rsidRPr="00A906D4">
        <w:rPr>
          <w:rFonts w:ascii="Titillium Web" w:hAnsi="Titillium Web"/>
          <w:b/>
          <w:position w:val="6"/>
          <w:lang w:val="en-US"/>
        </w:rPr>
        <w:t>Legend:</w:t>
      </w:r>
    </w:p>
    <w:p w:rsidR="00AF6FA3" w:rsidRPr="00A906D4" w:rsidRDefault="00E87776" w:rsidP="003F3C39">
      <w:pPr>
        <w:spacing w:line="240" w:lineRule="atLeast"/>
        <w:ind w:right="24"/>
        <w:jc w:val="both"/>
        <w:rPr>
          <w:rFonts w:ascii="Titillium Web" w:hAnsi="Titillium Web"/>
          <w:b/>
          <w:position w:val="6"/>
          <w:lang w:val="en-US"/>
        </w:rPr>
      </w:pPr>
      <w:r w:rsidRPr="00A906D4">
        <w:rPr>
          <w:rFonts w:ascii="Titillium Web" w:hAnsi="Titillium Web"/>
          <w:b/>
          <w:position w:val="6"/>
          <w:lang w:val="en-US"/>
        </w:rPr>
        <w:t xml:space="preserve">Note 1) </w:t>
      </w:r>
    </w:p>
    <w:p w:rsidR="00571AC2" w:rsidRPr="00A906D4" w:rsidRDefault="000E10D2" w:rsidP="003F3C39">
      <w:pPr>
        <w:spacing w:line="240" w:lineRule="atLeast"/>
        <w:ind w:right="24"/>
        <w:jc w:val="both"/>
        <w:rPr>
          <w:rFonts w:ascii="Titillium Web" w:hAnsi="Titillium Web"/>
          <w:position w:val="6"/>
          <w:lang w:val="en-US"/>
        </w:rPr>
      </w:pPr>
      <w:r w:rsidRPr="00A906D4">
        <w:rPr>
          <w:rFonts w:ascii="Titillium Web" w:hAnsi="Titillium Web"/>
          <w:position w:val="6"/>
          <w:lang w:val="en-US"/>
        </w:rPr>
        <w:t>Tick one of the hypotheses considered.</w:t>
      </w:r>
    </w:p>
    <w:sectPr w:rsidR="00571AC2" w:rsidRPr="00A906D4" w:rsidSect="005541E8">
      <w:headerReference w:type="default" r:id="rId10"/>
      <w:footerReference w:type="even" r:id="rId11"/>
      <w:footerReference w:type="default" r:id="rId12"/>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CB7" w:rsidRDefault="00115CB7">
      <w:r>
        <w:separator/>
      </w:r>
    </w:p>
  </w:endnote>
  <w:endnote w:type="continuationSeparator" w:id="0">
    <w:p w:rsidR="00115CB7" w:rsidRDefault="0011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4BFC">
      <w:rPr>
        <w:rStyle w:val="Numeropagina"/>
        <w:noProof/>
      </w:rPr>
      <w:t>2</w:t>
    </w:r>
    <w:r>
      <w:rPr>
        <w:rStyle w:val="Numeropagina"/>
      </w:rPr>
      <w:fldChar w:fldCharType="end"/>
    </w:r>
  </w:p>
  <w:p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CB7" w:rsidRDefault="00115CB7">
      <w:r>
        <w:separator/>
      </w:r>
    </w:p>
  </w:footnote>
  <w:footnote w:type="continuationSeparator" w:id="0">
    <w:p w:rsidR="00115CB7" w:rsidRDefault="0011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119" w:rsidRDefault="00495DAD">
    <w:pPr>
      <w:pStyle w:val="Intestazione"/>
      <w:rPr>
        <w:rFonts w:ascii="Calibri" w:hAnsi="Calibri" w:cs="Calibri"/>
        <w:i/>
        <w:color w:val="0033CC"/>
        <w:sz w:val="20"/>
        <w:szCs w:val="20"/>
      </w:rPr>
    </w:pPr>
    <w:r>
      <w:rPr>
        <w:noProof/>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-195580</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0</wp:posOffset>
          </wp:positionH>
          <wp:positionV relativeFrom="paragraph">
            <wp:posOffset>-447675</wp:posOffset>
          </wp:positionV>
          <wp:extent cx="7555230" cy="11430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0E6" w:rsidRDefault="00AD00E6">
    <w:pPr>
      <w:pStyle w:val="Intestazione"/>
      <w:rPr>
        <w:rFonts w:ascii="Calibri" w:hAnsi="Calibri" w:cs="Calibri"/>
        <w:i/>
        <w:color w:val="0033CC"/>
        <w:sz w:val="20"/>
        <w:szCs w:val="20"/>
      </w:rPr>
    </w:pPr>
  </w:p>
  <w:p w:rsidR="00AD00E6" w:rsidRDefault="00AD00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34DB0"/>
    <w:multiLevelType w:val="hybridMultilevel"/>
    <w:tmpl w:val="6F885768"/>
    <w:lvl w:ilvl="0" w:tplc="60C00DF2">
      <w:start w:val="1"/>
      <w:numFmt w:val="bullet"/>
      <w:lvlText w:val="-"/>
      <w:lvlJc w:val="left"/>
      <w:pPr>
        <w:ind w:left="405" w:hanging="360"/>
      </w:pPr>
      <w:rPr>
        <w:rFonts w:ascii="Calibri" w:eastAsia="Calibri"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889147B"/>
    <w:multiLevelType w:val="multilevel"/>
    <w:tmpl w:val="727C6FD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0"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3"/>
  </w:num>
  <w:num w:numId="4">
    <w:abstractNumId w:val="13"/>
  </w:num>
  <w:num w:numId="5">
    <w:abstractNumId w:val="8"/>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4"/>
  </w:num>
  <w:num w:numId="12">
    <w:abstractNumId w:val="12"/>
  </w:num>
  <w:num w:numId="13">
    <w:abstractNumId w:val="6"/>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06BF9"/>
    <w:rsid w:val="000108D5"/>
    <w:rsid w:val="000118BC"/>
    <w:rsid w:val="000138B9"/>
    <w:rsid w:val="000143ED"/>
    <w:rsid w:val="00015089"/>
    <w:rsid w:val="00025EA9"/>
    <w:rsid w:val="00027FD1"/>
    <w:rsid w:val="00030A7B"/>
    <w:rsid w:val="0004661D"/>
    <w:rsid w:val="00055FFC"/>
    <w:rsid w:val="000565A3"/>
    <w:rsid w:val="00062DE0"/>
    <w:rsid w:val="00067641"/>
    <w:rsid w:val="00074AD5"/>
    <w:rsid w:val="000779E4"/>
    <w:rsid w:val="000861A5"/>
    <w:rsid w:val="00087488"/>
    <w:rsid w:val="00087AEC"/>
    <w:rsid w:val="00091434"/>
    <w:rsid w:val="00093424"/>
    <w:rsid w:val="00095B5C"/>
    <w:rsid w:val="000960D1"/>
    <w:rsid w:val="000971CF"/>
    <w:rsid w:val="0009769F"/>
    <w:rsid w:val="000A70F0"/>
    <w:rsid w:val="000C08F7"/>
    <w:rsid w:val="000C5D80"/>
    <w:rsid w:val="000C70A2"/>
    <w:rsid w:val="000E0922"/>
    <w:rsid w:val="000E10D2"/>
    <w:rsid w:val="000F7124"/>
    <w:rsid w:val="00100AA2"/>
    <w:rsid w:val="00102865"/>
    <w:rsid w:val="0010637F"/>
    <w:rsid w:val="0011408E"/>
    <w:rsid w:val="00115CB7"/>
    <w:rsid w:val="001223AE"/>
    <w:rsid w:val="00133E17"/>
    <w:rsid w:val="001340C9"/>
    <w:rsid w:val="00142FCE"/>
    <w:rsid w:val="00145558"/>
    <w:rsid w:val="00153FD2"/>
    <w:rsid w:val="00161B74"/>
    <w:rsid w:val="001673CB"/>
    <w:rsid w:val="001778E8"/>
    <w:rsid w:val="00184525"/>
    <w:rsid w:val="00194E74"/>
    <w:rsid w:val="001A416B"/>
    <w:rsid w:val="001A7AA7"/>
    <w:rsid w:val="001B0E4B"/>
    <w:rsid w:val="001C39AD"/>
    <w:rsid w:val="001D003D"/>
    <w:rsid w:val="001D48DB"/>
    <w:rsid w:val="001D5197"/>
    <w:rsid w:val="001E6569"/>
    <w:rsid w:val="001E7A57"/>
    <w:rsid w:val="0021305C"/>
    <w:rsid w:val="002205B4"/>
    <w:rsid w:val="00222CDA"/>
    <w:rsid w:val="00223119"/>
    <w:rsid w:val="002264EE"/>
    <w:rsid w:val="00226851"/>
    <w:rsid w:val="00241E32"/>
    <w:rsid w:val="002651F6"/>
    <w:rsid w:val="00276DA0"/>
    <w:rsid w:val="00284D35"/>
    <w:rsid w:val="00291802"/>
    <w:rsid w:val="002A18EC"/>
    <w:rsid w:val="002A3D38"/>
    <w:rsid w:val="002A507E"/>
    <w:rsid w:val="002A7B47"/>
    <w:rsid w:val="002B4DA6"/>
    <w:rsid w:val="002B79A8"/>
    <w:rsid w:val="002C2A25"/>
    <w:rsid w:val="002D47F2"/>
    <w:rsid w:val="002E1049"/>
    <w:rsid w:val="002E39AC"/>
    <w:rsid w:val="0030077F"/>
    <w:rsid w:val="00302621"/>
    <w:rsid w:val="0030387D"/>
    <w:rsid w:val="0031009E"/>
    <w:rsid w:val="00310914"/>
    <w:rsid w:val="003140B1"/>
    <w:rsid w:val="00314F8B"/>
    <w:rsid w:val="00326C35"/>
    <w:rsid w:val="00332D24"/>
    <w:rsid w:val="00344684"/>
    <w:rsid w:val="003449BF"/>
    <w:rsid w:val="00345A84"/>
    <w:rsid w:val="00352EAA"/>
    <w:rsid w:val="0035520B"/>
    <w:rsid w:val="00364B27"/>
    <w:rsid w:val="0036533E"/>
    <w:rsid w:val="003722D8"/>
    <w:rsid w:val="00374178"/>
    <w:rsid w:val="003777BF"/>
    <w:rsid w:val="00387D2F"/>
    <w:rsid w:val="0039662F"/>
    <w:rsid w:val="003972DC"/>
    <w:rsid w:val="003A6269"/>
    <w:rsid w:val="003B6C89"/>
    <w:rsid w:val="003C6726"/>
    <w:rsid w:val="003D263C"/>
    <w:rsid w:val="003D4867"/>
    <w:rsid w:val="003E600C"/>
    <w:rsid w:val="003F27E5"/>
    <w:rsid w:val="003F3C39"/>
    <w:rsid w:val="003F5EBE"/>
    <w:rsid w:val="00401935"/>
    <w:rsid w:val="00426CC0"/>
    <w:rsid w:val="00427F2D"/>
    <w:rsid w:val="0044796A"/>
    <w:rsid w:val="004605A0"/>
    <w:rsid w:val="00465C61"/>
    <w:rsid w:val="004707E5"/>
    <w:rsid w:val="00476691"/>
    <w:rsid w:val="0048100D"/>
    <w:rsid w:val="00484FC7"/>
    <w:rsid w:val="004959E1"/>
    <w:rsid w:val="00495DAD"/>
    <w:rsid w:val="00496ECB"/>
    <w:rsid w:val="004A6781"/>
    <w:rsid w:val="004B1FA5"/>
    <w:rsid w:val="004D3B0B"/>
    <w:rsid w:val="004E11A4"/>
    <w:rsid w:val="004E56FD"/>
    <w:rsid w:val="004F2DCF"/>
    <w:rsid w:val="004F409E"/>
    <w:rsid w:val="00521AE4"/>
    <w:rsid w:val="005303E0"/>
    <w:rsid w:val="00544152"/>
    <w:rsid w:val="00547AD5"/>
    <w:rsid w:val="005541E8"/>
    <w:rsid w:val="005545AD"/>
    <w:rsid w:val="00565596"/>
    <w:rsid w:val="00571AC2"/>
    <w:rsid w:val="005819D1"/>
    <w:rsid w:val="005A4399"/>
    <w:rsid w:val="005A5AB8"/>
    <w:rsid w:val="005A7938"/>
    <w:rsid w:val="005C4D63"/>
    <w:rsid w:val="005D57A7"/>
    <w:rsid w:val="005E0E76"/>
    <w:rsid w:val="005E1B72"/>
    <w:rsid w:val="005E5A59"/>
    <w:rsid w:val="005F7643"/>
    <w:rsid w:val="0060399F"/>
    <w:rsid w:val="00623EF1"/>
    <w:rsid w:val="006329F2"/>
    <w:rsid w:val="00633693"/>
    <w:rsid w:val="00645F74"/>
    <w:rsid w:val="00651C88"/>
    <w:rsid w:val="00652F50"/>
    <w:rsid w:val="00653DAC"/>
    <w:rsid w:val="00690558"/>
    <w:rsid w:val="006937FC"/>
    <w:rsid w:val="00696144"/>
    <w:rsid w:val="00696169"/>
    <w:rsid w:val="006969CC"/>
    <w:rsid w:val="006A1DDE"/>
    <w:rsid w:val="006A455D"/>
    <w:rsid w:val="006A6E89"/>
    <w:rsid w:val="006C59D3"/>
    <w:rsid w:val="006C75F4"/>
    <w:rsid w:val="006F2CC0"/>
    <w:rsid w:val="006F71E8"/>
    <w:rsid w:val="00714D2B"/>
    <w:rsid w:val="007367E9"/>
    <w:rsid w:val="00746CB9"/>
    <w:rsid w:val="00747C97"/>
    <w:rsid w:val="00752B6E"/>
    <w:rsid w:val="007579A5"/>
    <w:rsid w:val="00773A89"/>
    <w:rsid w:val="00776264"/>
    <w:rsid w:val="00780712"/>
    <w:rsid w:val="007A34D8"/>
    <w:rsid w:val="007A44E1"/>
    <w:rsid w:val="007B3933"/>
    <w:rsid w:val="007B4452"/>
    <w:rsid w:val="007B79FB"/>
    <w:rsid w:val="007C709F"/>
    <w:rsid w:val="007D2316"/>
    <w:rsid w:val="007D4CDE"/>
    <w:rsid w:val="007E08B9"/>
    <w:rsid w:val="007E0F9D"/>
    <w:rsid w:val="007E57D0"/>
    <w:rsid w:val="007E60FE"/>
    <w:rsid w:val="007E6A4C"/>
    <w:rsid w:val="007F1F49"/>
    <w:rsid w:val="007F76AA"/>
    <w:rsid w:val="00807C74"/>
    <w:rsid w:val="00811A22"/>
    <w:rsid w:val="00814C5F"/>
    <w:rsid w:val="008402F3"/>
    <w:rsid w:val="00840494"/>
    <w:rsid w:val="00843C87"/>
    <w:rsid w:val="00867FE5"/>
    <w:rsid w:val="008752C9"/>
    <w:rsid w:val="0087659E"/>
    <w:rsid w:val="00877914"/>
    <w:rsid w:val="00890B5F"/>
    <w:rsid w:val="008B1E88"/>
    <w:rsid w:val="008B45D0"/>
    <w:rsid w:val="008C18DC"/>
    <w:rsid w:val="008D4245"/>
    <w:rsid w:val="008D433B"/>
    <w:rsid w:val="008E1298"/>
    <w:rsid w:val="008F1928"/>
    <w:rsid w:val="008F5FD0"/>
    <w:rsid w:val="00900780"/>
    <w:rsid w:val="00901E0D"/>
    <w:rsid w:val="0091368D"/>
    <w:rsid w:val="00915FAB"/>
    <w:rsid w:val="00923030"/>
    <w:rsid w:val="009249BD"/>
    <w:rsid w:val="0093008E"/>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4D4F"/>
    <w:rsid w:val="009F5AF6"/>
    <w:rsid w:val="00A02033"/>
    <w:rsid w:val="00A07F0B"/>
    <w:rsid w:val="00A10664"/>
    <w:rsid w:val="00A12901"/>
    <w:rsid w:val="00A13F04"/>
    <w:rsid w:val="00A1455A"/>
    <w:rsid w:val="00A22487"/>
    <w:rsid w:val="00A27D6B"/>
    <w:rsid w:val="00A35195"/>
    <w:rsid w:val="00A50F1C"/>
    <w:rsid w:val="00A52ED3"/>
    <w:rsid w:val="00A6101D"/>
    <w:rsid w:val="00A906D4"/>
    <w:rsid w:val="00A925D1"/>
    <w:rsid w:val="00A945C6"/>
    <w:rsid w:val="00A94775"/>
    <w:rsid w:val="00AA300E"/>
    <w:rsid w:val="00AA6F8C"/>
    <w:rsid w:val="00AB08A1"/>
    <w:rsid w:val="00AB6111"/>
    <w:rsid w:val="00AC419A"/>
    <w:rsid w:val="00AD00E6"/>
    <w:rsid w:val="00AD53A2"/>
    <w:rsid w:val="00AE1F05"/>
    <w:rsid w:val="00AF240F"/>
    <w:rsid w:val="00AF6FA3"/>
    <w:rsid w:val="00B026C7"/>
    <w:rsid w:val="00B1531E"/>
    <w:rsid w:val="00B2682A"/>
    <w:rsid w:val="00B31156"/>
    <w:rsid w:val="00B315C5"/>
    <w:rsid w:val="00B548D5"/>
    <w:rsid w:val="00B55223"/>
    <w:rsid w:val="00B55EB7"/>
    <w:rsid w:val="00B56D4B"/>
    <w:rsid w:val="00B60F68"/>
    <w:rsid w:val="00B629C4"/>
    <w:rsid w:val="00B64B28"/>
    <w:rsid w:val="00B6681E"/>
    <w:rsid w:val="00B775BB"/>
    <w:rsid w:val="00B775EA"/>
    <w:rsid w:val="00B8130B"/>
    <w:rsid w:val="00B848BE"/>
    <w:rsid w:val="00B87307"/>
    <w:rsid w:val="00B92299"/>
    <w:rsid w:val="00B92D42"/>
    <w:rsid w:val="00B92E79"/>
    <w:rsid w:val="00B95289"/>
    <w:rsid w:val="00B9731B"/>
    <w:rsid w:val="00BA2912"/>
    <w:rsid w:val="00BA2C9E"/>
    <w:rsid w:val="00BA4BFC"/>
    <w:rsid w:val="00BA561F"/>
    <w:rsid w:val="00BA7273"/>
    <w:rsid w:val="00BD4119"/>
    <w:rsid w:val="00BD51F8"/>
    <w:rsid w:val="00BD7C42"/>
    <w:rsid w:val="00BE59D3"/>
    <w:rsid w:val="00BE60E5"/>
    <w:rsid w:val="00C003C1"/>
    <w:rsid w:val="00C141D4"/>
    <w:rsid w:val="00C149E1"/>
    <w:rsid w:val="00C16398"/>
    <w:rsid w:val="00C24B0D"/>
    <w:rsid w:val="00C3008F"/>
    <w:rsid w:val="00C35CA7"/>
    <w:rsid w:val="00C3644B"/>
    <w:rsid w:val="00C3792D"/>
    <w:rsid w:val="00C52422"/>
    <w:rsid w:val="00C5409A"/>
    <w:rsid w:val="00C65F22"/>
    <w:rsid w:val="00C7410D"/>
    <w:rsid w:val="00C80415"/>
    <w:rsid w:val="00C830AA"/>
    <w:rsid w:val="00CA3986"/>
    <w:rsid w:val="00CA634D"/>
    <w:rsid w:val="00CB60CA"/>
    <w:rsid w:val="00CC29ED"/>
    <w:rsid w:val="00CC3A16"/>
    <w:rsid w:val="00CC718A"/>
    <w:rsid w:val="00CD582E"/>
    <w:rsid w:val="00D26E24"/>
    <w:rsid w:val="00D37014"/>
    <w:rsid w:val="00D42E7A"/>
    <w:rsid w:val="00D45EBE"/>
    <w:rsid w:val="00D50CD1"/>
    <w:rsid w:val="00D630D8"/>
    <w:rsid w:val="00D64975"/>
    <w:rsid w:val="00D6721B"/>
    <w:rsid w:val="00D67DD5"/>
    <w:rsid w:val="00D71F01"/>
    <w:rsid w:val="00D85267"/>
    <w:rsid w:val="00D87B5D"/>
    <w:rsid w:val="00D9098C"/>
    <w:rsid w:val="00D970DC"/>
    <w:rsid w:val="00D9793D"/>
    <w:rsid w:val="00DA5AF5"/>
    <w:rsid w:val="00DB3E54"/>
    <w:rsid w:val="00DD1185"/>
    <w:rsid w:val="00DD6E10"/>
    <w:rsid w:val="00DE1841"/>
    <w:rsid w:val="00DE506B"/>
    <w:rsid w:val="00DF57CF"/>
    <w:rsid w:val="00DF57DF"/>
    <w:rsid w:val="00E007D0"/>
    <w:rsid w:val="00E06BEC"/>
    <w:rsid w:val="00E12173"/>
    <w:rsid w:val="00E12A18"/>
    <w:rsid w:val="00E27646"/>
    <w:rsid w:val="00E43CE6"/>
    <w:rsid w:val="00E44D57"/>
    <w:rsid w:val="00E5165F"/>
    <w:rsid w:val="00E6043B"/>
    <w:rsid w:val="00E67398"/>
    <w:rsid w:val="00E76F9B"/>
    <w:rsid w:val="00E80433"/>
    <w:rsid w:val="00E80988"/>
    <w:rsid w:val="00E82E1C"/>
    <w:rsid w:val="00E84F90"/>
    <w:rsid w:val="00E875FF"/>
    <w:rsid w:val="00E87776"/>
    <w:rsid w:val="00E95E86"/>
    <w:rsid w:val="00E9761D"/>
    <w:rsid w:val="00EA59B5"/>
    <w:rsid w:val="00EB2140"/>
    <w:rsid w:val="00EB6379"/>
    <w:rsid w:val="00EB73D5"/>
    <w:rsid w:val="00EC327D"/>
    <w:rsid w:val="00EE7EC0"/>
    <w:rsid w:val="00EF13C6"/>
    <w:rsid w:val="00EF39F7"/>
    <w:rsid w:val="00EF7FC1"/>
    <w:rsid w:val="00F01659"/>
    <w:rsid w:val="00F16471"/>
    <w:rsid w:val="00F26B0A"/>
    <w:rsid w:val="00F320E8"/>
    <w:rsid w:val="00F37D02"/>
    <w:rsid w:val="00F5027A"/>
    <w:rsid w:val="00F51E6D"/>
    <w:rsid w:val="00F572FF"/>
    <w:rsid w:val="00F60137"/>
    <w:rsid w:val="00F64227"/>
    <w:rsid w:val="00F66A5D"/>
    <w:rsid w:val="00F7354A"/>
    <w:rsid w:val="00F73B91"/>
    <w:rsid w:val="00F91937"/>
    <w:rsid w:val="00F91A67"/>
    <w:rsid w:val="00F94FDB"/>
    <w:rsid w:val="00F977F4"/>
    <w:rsid w:val="00FA18D0"/>
    <w:rsid w:val="00FB1C35"/>
    <w:rsid w:val="00FC0915"/>
    <w:rsid w:val="00FC587B"/>
    <w:rsid w:val="00FC68EF"/>
    <w:rsid w:val="00FF0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920F4"/>
  <w15:chartTrackingRefBased/>
  <w15:docId w15:val="{D415D77A-8A7D-4F66-AB85-DF7AD7A5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uiPriority w:val="99"/>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uiPriority w:val="99"/>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nhideWhenUsed/>
    <w:rsid w:val="005A5AB8"/>
    <w:rPr>
      <w:color w:val="0000FF"/>
      <w:u w:val="single"/>
    </w:rPr>
  </w:style>
  <w:style w:type="paragraph" w:styleId="Paragrafoelenco">
    <w:name w:val="List Paragraph"/>
    <w:basedOn w:val="Normale"/>
    <w:uiPriority w:val="34"/>
    <w:qFormat/>
    <w:rsid w:val="00B55223"/>
    <w:pPr>
      <w:spacing w:line="276" w:lineRule="auto"/>
      <w:ind w:left="720"/>
      <w:jc w:val="both"/>
    </w:pPr>
    <w:rPr>
      <w:rFonts w:ascii="Garamond" w:eastAsia="Calibri" w:hAnsi="Garamond"/>
      <w:szCs w:val="22"/>
    </w:rPr>
  </w:style>
  <w:style w:type="paragraph" w:customStyle="1" w:styleId="regolamento">
    <w:name w:val="regolamento"/>
    <w:basedOn w:val="Normale"/>
    <w:rsid w:val="00EA59B5"/>
    <w:pPr>
      <w:widowControl w:val="0"/>
      <w:tabs>
        <w:tab w:val="left" w:pos="-2127"/>
      </w:tabs>
      <w:suppressAutoHyphens/>
      <w:ind w:left="284" w:hanging="284"/>
      <w:jc w:val="both"/>
    </w:pPr>
    <w:rPr>
      <w:rFonts w:ascii="Arial" w:hAnsi="Arial" w:cs="Arial"/>
      <w:sz w:val="20"/>
      <w:lang w:eastAsia="ar-SA"/>
    </w:rPr>
  </w:style>
  <w:style w:type="character" w:styleId="Menzionenonrisolta">
    <w:name w:val="Unresolved Mention"/>
    <w:uiPriority w:val="99"/>
    <w:semiHidden/>
    <w:unhideWhenUsed/>
    <w:rsid w:val="00B55EB7"/>
    <w:rPr>
      <w:color w:val="605E5C"/>
      <w:shd w:val="clear" w:color="auto" w:fill="E1DFDD"/>
    </w:rPr>
  </w:style>
  <w:style w:type="character" w:styleId="Testosegnaposto">
    <w:name w:val="Placeholder Text"/>
    <w:basedOn w:val="Carpredefinitoparagrafo"/>
    <w:uiPriority w:val="99"/>
    <w:semiHidden/>
    <w:rsid w:val="00A906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6147">
      <w:bodyDiv w:val="1"/>
      <w:marLeft w:val="0"/>
      <w:marRight w:val="0"/>
      <w:marTop w:val="0"/>
      <w:marBottom w:val="0"/>
      <w:divBdr>
        <w:top w:val="none" w:sz="0" w:space="0" w:color="auto"/>
        <w:left w:val="none" w:sz="0" w:space="0" w:color="auto"/>
        <w:bottom w:val="none" w:sz="0" w:space="0" w:color="auto"/>
        <w:right w:val="none" w:sz="0" w:space="0" w:color="auto"/>
      </w:divBdr>
    </w:div>
    <w:div w:id="635719862">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ita.dip.farmacia@pec.uni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statuto-e-normativa/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4065-CAA9-4BBF-A17E-5BF47B16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3365</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Annex C</vt:lpstr>
      <vt:lpstr>Allegato C</vt:lpstr>
    </vt:vector>
  </TitlesOfParts>
  <Company>unina</Company>
  <LinksUpToDate>false</LinksUpToDate>
  <CharactersWithSpaces>3948</CharactersWithSpaces>
  <SharedDoc>false</SharedDoc>
  <HLinks>
    <vt:vector size="12" baseType="variant">
      <vt:variant>
        <vt:i4>8126584</vt:i4>
      </vt:variant>
      <vt:variant>
        <vt:i4>3</vt:i4>
      </vt:variant>
      <vt:variant>
        <vt:i4>0</vt:i4>
      </vt:variant>
      <vt:variant>
        <vt:i4>5</vt:i4>
      </vt:variant>
      <vt:variant>
        <vt:lpwstr>http://www.unina.it/ateneo/statuto-e-normativa/privacy</vt:lpwstr>
      </vt:variant>
      <vt:variant>
        <vt:lpwstr/>
      </vt:variant>
      <vt:variant>
        <vt:i4>3539019</vt:i4>
      </vt:variant>
      <vt:variant>
        <vt:i4>0</vt:i4>
      </vt:variant>
      <vt:variant>
        <vt:i4>0</vt:i4>
      </vt:variant>
      <vt:variant>
        <vt:i4>5</vt:i4>
      </vt:variant>
      <vt:variant>
        <vt:lpwstr>mailto:contabilita.dip.farmacia@pec.unina.it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
  <dc:creator>Annalisa Pacelli</dc:creator>
  <cp:keywords/>
  <cp:lastModifiedBy>Maria Chiara MONTI</cp:lastModifiedBy>
  <cp:revision>3</cp:revision>
  <cp:lastPrinted>2017-03-30T09:05:00Z</cp:lastPrinted>
  <dcterms:created xsi:type="dcterms:W3CDTF">2024-10-10T06:43:00Z</dcterms:created>
  <dcterms:modified xsi:type="dcterms:W3CDTF">2024-10-10T07:24:00Z</dcterms:modified>
</cp:coreProperties>
</file>